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5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안내판</w:t>
      </w: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36"/>
        </w:rPr>
      </w:pPr>
      <w:bookmarkStart w:id="2" w:name="_Hlk211356453"/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60288" allowOverlap="1" hidden="0">
            <wp:simplePos x="0" y="0"/>
            <wp:positionH relativeFrom="column">
              <wp:posOffset>1282065</wp:posOffset>
            </wp:positionH>
            <wp:positionV relativeFrom="paragraph">
              <wp:posOffset>177800</wp:posOffset>
            </wp:positionV>
            <wp:extent cx="3078480" cy="1143000"/>
            <wp:effectExtent l="0" t="0" r="0" b="0"/>
            <wp:wrapSquare wrapText="bothSides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  <w:bookmarkEnd w:id="2"/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6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6"/>
          <w:rtl w:val="off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6"/>
          <w:rtl w:val="off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본 시방서는 조경시설 및 외부 휴게공간에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1.2 적용기준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협의하여 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목재의 수종은 천연 방부재 계열의 남양재(하드우드)를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목재는 갈라짐이나 뒤틀림이 없어야하며 무절품을 사용하여야 한다.</w:t>
      </w:r>
    </w:p>
    <w:p>
      <w:pPr>
        <w:pStyle w:val="a3"/>
        <w:ind w:leftChars="100" w:left="880" w:hangingChars="300" w:hanging="660"/>
        <w:wordWrap/>
        <w:snapToGrid/>
        <w:jc w:val="left"/>
        <w:rPr>
          <w:rFonts w:ascii="맑은 고딕" w:eastAsia="맑은 고딕" w:hAnsi="맑은 고딕" w:hint="eastAsia"/>
          <w:sz w:val="20"/>
          <w:szCs w:val="20"/>
          <w:rtl w:val="off"/>
        </w:rPr>
      </w:pPr>
      <w:r>
        <w:rPr>
          <w:rFonts w:ascii="맑은 고딕" w:eastAsia="맑은 고딕" w:hAnsi="맑은 고딕"/>
          <w:sz w:val="20"/>
          <w:szCs w:val="20"/>
        </w:rPr>
        <w:t xml:space="preserve">(3) 조경재의 품질은 건조와 표면마감에 따라 좌우되므로 자연건조 90일 이상,         </w:t>
      </w:r>
    </w:p>
    <w:p>
      <w:pPr>
        <w:pStyle w:val="a3"/>
        <w:ind w:leftChars="100" w:left="880" w:hangingChars="300" w:hanging="660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  <w:rtl w:val="off"/>
        </w:rPr>
        <w:t xml:space="preserve">   </w:t>
      </w:r>
      <w:r>
        <w:rPr>
          <w:rFonts w:ascii="맑은 고딕" w:eastAsia="맑은 고딕" w:hAnsi="맑은 고딕"/>
          <w:sz w:val="20"/>
          <w:szCs w:val="20"/>
        </w:rPr>
        <w:t>증기건조 20일후, 대패가공 한다. 이때 함수율 15% 이하로 건조 하여야한다.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(2) 산화, 부식의 방지를 위해 필히 빈틈없이 녹막이 도장을 하여야 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2.3 스테인리스재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스테인리스 강판은 특별히 정하지 않는 한 KS-D-3698에 준하여 제작한             오스테나이트계의 냉간압연 스테인리스 강판 및 강대 중 STS-304를                사용한다.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강판의 인장강도는 53kgf/mm²이상, 연신율 40%이상으로 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(3) 두께는 구조적 강도를 기준하여 결정한다.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 w:hint="eastAsia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2.4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AL-CASTING의 규격은 KSD-2334 이며 재질은 AC-4A, AC-7A 생산품 이어야하나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조경, 건축자재는 일반 재질 알루미늄 순도율이 88%이상 품도 가능하다.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이 또한 열처리 후 분체도장으로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2.5 기타재료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부재료 규격은 설계도면을 기준하며 현장에 따라 상향 조정할수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목재와 금속 결속품은 기온에 따라 수축현상이 있으므로 보완을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3.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용접은 해당 작업의 시험이나 그 이상의 검정시험에 합격한 용접공에 의해         시행해야 한다.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단, 동등한 시험이나 그 이상의 전문지식과 경험을 충분히         갖추고 있다고 감독자가 인정하는 경우에는 이 규정을 따르지 않아도 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용접에 의한 수축량과 찌그러짐 등의 변형을 고려하여 마무리 규격의 형상을        얻을 수 있도록 해야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기타 조건에 대하여 제작자가 추천하는 크기와 분류번호를 가진 피복된            용접봉이어야 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 xml:space="preserve"> 3.2 볼트접합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볼트는 나사를 무리하게 조여 손상되지 않도록 하고 정확하게 구멍 속으로         박아야 하며 볼트 박기 중 볼트머리가 손상되지 않도록 해야한다.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Chars="100" w:left="660" w:hangingChars="200" w:hanging="440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(6) 연결고정부분은 정밀절단, 천공하여 조립한다.</w:t>
      </w:r>
    </w:p>
    <w:p>
      <w:pPr>
        <w:pStyle w:val="a3"/>
        <w:ind w:leftChars="100" w:left="660" w:hangingChars="200" w:hanging="440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(7) 포장구간에 시설물 설치 시에는 포장후의 상단 높이를 예측하여 기초부위를        시공함으로써 포장상단에서의 높이가 설계도면과 동일하게 시동되도록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eastAsia"/>
          <w:b/>
          <w:sz w:val="20"/>
          <w:szCs w:val="20"/>
          <w:rtl w:val="off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4.1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대패가공 후 방부, 방충 오일스테인을 2회 도장한다.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(4) 도장 후 표면에 얼룩이 생기지 않도록 하고 건조를 철저히 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4.2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(3) 아크릴 우레탄 도장 2~3회 혹은 불소수치 도장을 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4.3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도장  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최소 분체도장 두께는 60마이크론 이상으로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지정 분체도장 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5.1 검사</w:t>
      </w:r>
    </w:p>
    <w:p>
      <w:pPr>
        <w:pStyle w:val="a3"/>
        <w:ind w:left="330" w:hangingChars="150" w:hanging="33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사용부재의 두께, 길이, 볼트구멍 등 완성품의 규격이 도면 및 시방서의           내용과 같은지 확인한다.</w:t>
      </w:r>
    </w:p>
    <w:p>
      <w:pPr>
        <w:pStyle w:val="a3"/>
        <w:ind w:left="330" w:hangingChars="150" w:hanging="33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(3) 완성품의 표면상태 및 외형 등의 이상이 없는지 확인한다.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5.2 시험</w:t>
      </w:r>
    </w:p>
    <w:p>
      <w:pPr>
        <w:pStyle w:val="a3"/>
        <w:ind w:left="330" w:hangingChars="150" w:hanging="33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목재의 함수율 - 함수율 측정은 KS-F-2199(목재의 함수율 측정 방법)에                            규정하는 방법에 따른다. 또한, 전기전 측정방법에 따라도</w:t>
      </w:r>
      <w:r>
        <w:rPr>
          <w:rFonts w:ascii="맑은 고딕" w:eastAsia="맑은 고딕" w:hAnsi="맑은 고딕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좋다.</w:t>
      </w:r>
    </w:p>
    <w:p>
      <w:pPr>
        <w:pStyle w:val="a3"/>
        <w:ind w:left="330" w:hangingChars="150" w:hanging="33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표면처리 - 금속부 도막 밀착성 시험은 시험편에 예리한 칼로 칼날이 금속                    바탕에 닿도록 1mm간격으로 서로 직교하도록 괘선을 11줄씩 긋고                   1x1mm의 칸을 100개 만든다. 그 위에 KS-A-1528(셀로판 점착                      테이프)에 규정하는 점착테이프를 붙인 후 즉시 떼어내어 도막이                   벗겨지는지 유무를 조사한다.</w:t>
      </w:r>
    </w:p>
    <w:p>
      <w:pPr>
        <w:pStyle w:val="a3"/>
        <w:ind w:left="330" w:hangingChars="150" w:hanging="330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szCs w:val="20"/>
        </w:rPr>
        <w:t xml:space="preserve">  - 목재부 도막밀착성 시험은 시험편에 예리한 칼날을 약 30°로                     기울여 목질바탕을 닿도록 2mm간격으로 서로 직교하는 선을                       11줄씩 긋고 2x2mm의 칸을 100개 만든다. 그 위에                                KS-A-1528(셀로판 접착테이프)에 규정하는 점착테이프를 붙인 후                   바로 떼어서 도막의 벗겨짐 유무를 조사한다.</w:t>
      </w:r>
    </w:p>
    <w:sectPr>
      <w:pgSz w:w="11906" w:h="16838"/>
      <w:pgMar w:top="1984" w:right="1701" w:bottom="1701" w:left="1701" w:header="1134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2025-10-16T03:54:36Z</dcterms:modified>
  <cp:version>0900.0100.01</cp:version>
</cp:coreProperties>
</file>