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/>
          <w:b/>
          <w:bCs/>
          <w:sz w:val="90"/>
          <w:szCs w:val="90"/>
          <w:rtl w:val="off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  <w:b/>
          <w:bCs/>
          <w:sz w:val="90"/>
          <w:szCs w:val="90"/>
        </w:rPr>
      </w:pPr>
      <w:r>
        <w:rPr>
          <w:rFonts w:ascii="맑은 고딕" w:eastAsia="맑은 고딕" w:hAnsi="맑은 고딕"/>
          <w:b/>
          <w:bCs/>
          <w:sz w:val="90"/>
          <w:szCs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bCs/>
          <w:sz w:val="36"/>
          <w:szCs w:val="36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bCs/>
          <w:sz w:val="36"/>
          <w:szCs w:val="36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bCs/>
          <w:sz w:val="36"/>
          <w:szCs w:val="36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eastAsia"/>
          <w:b/>
          <w:bCs/>
          <w:sz w:val="36"/>
          <w:szCs w:val="36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bCs/>
          <w:sz w:val="36"/>
          <w:szCs w:val="36"/>
          <w:rtl w:val="off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  <w:b/>
          <w:bCs/>
          <w:sz w:val="36"/>
          <w:szCs w:val="36"/>
        </w:rPr>
      </w:pPr>
      <w:r>
        <w:rPr>
          <w:rFonts w:ascii="맑은 고딕" w:eastAsia="맑은 고딕" w:hAnsi="맑은 고딕"/>
          <w:b/>
          <w:bCs/>
          <w:sz w:val="36"/>
          <w:szCs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bCs/>
          <w:sz w:val="36"/>
          <w:szCs w:val="36"/>
        </w:rPr>
      </w:pPr>
      <w:r>
        <w:rPr>
          <w:rFonts w:ascii="맑은 고딕" w:eastAsia="맑은 고딕" w:hAnsi="맑은 고딕"/>
          <w:b/>
          <w:bCs/>
          <w:sz w:val="36"/>
          <w:szCs w:val="36"/>
        </w:rPr>
        <w:t>조경시설물 : 그네 벤치</w:t>
      </w:r>
    </w:p>
    <w:p>
      <w:pPr>
        <w:pStyle w:val="a3"/>
        <w:wordWrap/>
        <w:snapToGrid/>
        <w:jc w:val="righ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 w:hint="default"/>
          <w:b/>
          <w:bCs/>
          <w:noProof/>
          <w:sz w:val="36"/>
          <w:szCs w:val="36"/>
        </w:rPr>
        <w:drawing>
          <wp:anchor distT="0" distB="0" distL="0" distR="0" behindDoc="0" locked="0" layoutInCell="1" simplePos="0" relativeHeight="251659776" allowOverlap="1" hidden="0">
            <wp:simplePos x="0" y="0"/>
            <wp:positionH relativeFrom="column">
              <wp:posOffset>1337310</wp:posOffset>
            </wp:positionH>
            <wp:positionV relativeFrom="paragraph">
              <wp:posOffset>24788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/>
          <w:bCs/>
          <w:sz w:val="20"/>
          <w:szCs w:val="20"/>
          <w:rtl w:val="off"/>
        </w:rPr>
      </w:pP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/>
          <w:bCs/>
          <w:sz w:val="20"/>
          <w:szCs w:val="20"/>
          <w:rtl w:val="off"/>
        </w:rPr>
      </w:pP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1. 일반사항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1.1 적용범위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본 시방서는 조경시설 및 외부 휴게공간에 설치되는 시설물 공사에 준한다.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1.2 적용기준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협의하여 제작한다.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 재질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2.1 목재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조경재의 품질은 건조와 표면마감에 따라 좌우되므로 자연건조 90일 이상,         증기건조 20일후, 대패가공 한다. 이때 함수율 18% 이하로 건조 하여야한다.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2.2 철재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2.3 석재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석재는 형상, 치수, 재질, 미관, 마감상태 등이 양호한 것을 사용햐여야 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>한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종류 및 산지에 다른 고유의 특성을 지녀야 하며, 부적당한 색깔이나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갈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라짐, 깨진 것, 오염된 것등을 반입해서는 안된다.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2.4 폴리카보네이트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KS M ISO 7391-1 규정에 따른 것으로 두께 3mm 이상의 것을 사용한다.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발주처의 요구시 두께의 변경이 가능하도록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또한, 발주처의 요구시 복층판 변경도 가능하도록 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폴리카보네이트 시트는 보호필름으로 보양된 상태로 현장에 반입되어야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하며, 가공 및 시공과정에서 부득이한 경우가 아니면 보호필름을 제거하거나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훼손하면 안된다.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폴리카보네이트 시트는 직사광선에 직접 노출되지 않고 비가 새지 않으며          통풍이 잘되는 실내에 보관하고, 주위의 온도가 40℃ 이상 상승치 않도록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한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다.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2.5 알루미늄재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AL-EXTRUDED BAR의 기둥재는 외장재와의 결합을 하여 미적인 기능과, 구조적        기능을 가지도록 제작한다. 열처리 후 분체도장 으로 마감한다.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AL-CASTING의 규격은 KSD-2334 이며 재질은 AC-4A, AC-7A 생산품 이어야하나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이또한 열처리 후 분체도장 으로 마감한다.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2.6 기타재료</w:t>
      </w:r>
    </w:p>
    <w:p>
      <w:pPr>
        <w:pStyle w:val="a3"/>
        <w:ind w:left="440" w:hangingChars="200" w:hanging="440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강화유리는 KSL 2002 강화유리 규정에 합격한 것이나 동등 이상의 것으로          하며 최소 두께는 8MM 이상의 것으로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조립볼트와 보강 재료는 KS 정품으로 조립 설치한다.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부재료 규격은 설계도면을 기준하며 현장에 따라 상향 조정할수 있다.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목재와 금속 결속품은 기온에 따라 수축현상이 있으므로 보완을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주ㆍ부재료의 컬러는 전체컬러와 동일하게 처리한다.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 접합 및 조립설치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3.1 용접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부재의 용접면은 용접전의 페인트, 기름, 녹, 수분, 스케일 등 용접에             지장이 있는 것을 제거하여야 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용접기와 부속기구는 주어진 용접조건에 알맞은 구조 및 기능을 갖고              안전하게 용접할 수 있어야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기타 조건에 대하여 제작자가 추천하는 크기와 분류번호를 가진 피복된            용접봉이어야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3.2 볼트접합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볼트는 나사를 무리하게 조여 손상되지 않도록 하고 정확하게 구멍 속으로         박아야 하며 볼트 박기중 볼트머리가 손상되지 않도록 해야한다.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와셔는 볼트머리 아래 및 너트 아래에 각각 한 장씩 사용하며 볼트머리와          너트는 정연하게 놓여야 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3.3 조립설치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설치위치는 설계도면에 따르며 감독자의 지시를 받아야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시공전 바닥을 다짐하여 평탄하게 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기초 콘크리트는 설계도면 규격이며, 배합비는 건축 및 토목공사에 기준한다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연결고정부분은 정밀절단, 천공하여 조립한다.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 도장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4.1 목재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대패가공 후 방부, 방충 수성스테인을 2회 도장한다.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도장후 표면에 얼룩이 생기지 않도록 하고 건조를 철저히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4.2 철재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 w:val="20"/>
          <w:szCs w:val="20"/>
        </w:rPr>
        <w:t>4.3 알루미늄재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도장전 하도 피막 도장을 철저히 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>4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) 지정 분체도장후 열처리한다.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/>
          <w:b w:val="0"/>
          <w:bCs w:val="0"/>
          <w:sz w:val="20"/>
          <w:szCs w:val="20"/>
        </w:rPr>
      </w:pP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 검사 및 시험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5.1 검사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사용부재의 두께, 길이, 볼트구멍 등 완성품의 규격이 도면 및 시방서의           내용과 같은지 확인한다.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사용부재의 규격, 부재간 연결방법, 용접면 및 용접상태, 접속부의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5.2 시험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좋다.</w:t>
      </w:r>
    </w:p>
    <w:p>
      <w:pPr>
        <w:pStyle w:val="a3"/>
        <w:ind w:left="661" w:hangingChars="300" w:hanging="66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표면처리 - 금속부 도막 밀착성 시험은 시험편에 예리한 칼로 칼날이 금속                    바탕에 닿도록 1mm간격으로 서로 직교하도록 괘선을 11줄씩 긋고                   1x1mm의 칸을 100개 만든다. 그위에 KS-A-1528(셀로판 점착 테이프)에 규정하는 점착테이프를 붙인 후 즉시 떼어내어 도막이 벗겨지는지 유무를 조사한다.</w:t>
      </w:r>
    </w:p>
    <w:p>
      <w:pPr>
        <w:pStyle w:val="a3"/>
        <w:ind w:left="881" w:hangingChars="400" w:hanging="881"/>
        <w:wordWrap/>
        <w:snapToGrid/>
        <w:jc w:val="left"/>
        <w:pBdr>
          <w:right w:val="none" w:sz="2" w:space="24" w:color="000000"/>
        </w:pBdr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- 목재부 도막밀착성 시험은 시험편에 예리한 칼날을 약 30°로 기울여 목질바탕을 닿도록 2mm간격으로 서로 직교하는 선을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11줄씩 긋고 2x2mm의 칸을 100개 만든다. 그위에 KS-A-1528(셀로판 점착 테이프)에 규정하는 점착테이프를 붙인후 바로 떼어서 도막의 벗겨짐 유무를 조사한다.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2025-10-16T04:48:30Z</dcterms:modified>
  <cp:version>0900.0100.01</cp:version>
</cp:coreProperties>
</file>