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 w:hint="eastAsia"/>
          <w:b/>
          <w:sz w:val="64"/>
          <w:szCs w:val="64"/>
          <w:rtl w:val="off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플랜터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1340231</wp:posOffset>
            </wp:positionH>
            <wp:positionV relativeFrom="paragraph">
              <wp:posOffset>207010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/>
          <w:sz w:val="20"/>
          <w:szCs w:val="20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1.2 적용기준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조경재의 품질은 건조와 표면마감에 따라 좌우되므로 자연건조 90일 이상,         증기건조 20일후, 대패가공 한다. 이때 함수율 15%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2.3 스테인리스재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스테인리스 강판은 특별히 정하지 않는 한 KS-D-3698에 준하여 제작한             오스테나이트계의 냉간압연 스테인리스 강판 및 강대 중 STS-304를                사용한다.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강판의 인장강도는 53kgf/mm²이상, 연신율 40%이상으로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두께는 구조적 강도를 기준하여 결정한다.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2.4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이 또한 열처리 후 분체도장으로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2.5 기타재료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용접은 해당 작업의 시험이나 그 이상의 검정시험에 합격한 용접공에 의해         시행해야 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단, 동등한 시험이나 그 이상의 전문지식과 경험을 충분히         갖추고 있다고 감독자가 인정하는 경우에는 이 규정을 따르지 않아도 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용접에 의한 수축량과 찌그러짐 등의 변형을 고려하여 마무리 규격의 형상을        얻을 수 있도록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 xml:space="preserve"> 3.2 볼트접합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볼트는 나사를 무리하게 조여 손상되지 않도록 하고 정확하게 구멍 속으로         박아야 하며 볼트 박기 중 볼트머리가 손상되지 않도록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설계도면과 동일하게 시동되도록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대패가공 후 방부, 방충 오일스테인을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도장 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(3) 아크릴 우레탄 도장 2~3회 혹은 불소수치 도장을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eastAsia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도장  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최소 분체도장 두께는 60마이크론 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지정 분체도장 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사용부재의 두께, 길이, 볼트구멍 등 완성품의 규격이 도면 및 시방서의           내용과 같은지 확인한다.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5.2 시험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좋다.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1x1mm의 칸을 100개 만든다. 그 위에 KS-A-1528(셀로판 점착테이프)에 규정하는 점착테이프를 붙인 후 즉시 떼어내어 도막이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벗겨지는지 유무를 조사한다.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- 목재부 도막밀착성 시험은 시험편에 예리한 칼날을 약 30°로 기울여 목질바탕을 닿도록 2mm간격으로 서로 직교하는 선을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11줄씩 긋고 2x2mm의 칸을 100개 만든다. 그 위에 KS-A-1528(셀로판 접착테이프)에 규정하는 점착테이프를 붙인 후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바로 떼어서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2025-10-16T04:25:12Z</dcterms:modified>
  <cp:version>0900.0100.01</cp:version>
</cp:coreProperties>
</file>