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pBdr>
          <w:left w:val="none" w:sz="2" w:space="7" w:color="000000"/>
        </w:pBdr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pBdr>
          <w:left w:val="none" w:sz="2" w:space="7" w:color="000000"/>
        </w:pBdr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pBdr>
          <w:left w:val="none" w:sz="2" w:space="7" w:color="000000"/>
        </w:pBdr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pBdr>
          <w:left w:val="none" w:sz="2" w:space="7" w:color="000000"/>
        </w:pBdr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 xml:space="preserve">조경시설물 </w:t>
      </w:r>
      <w:r>
        <w:rPr>
          <w:rFonts w:ascii="맑은 고딕" w:eastAsia="맑은 고딕" w:hAnsi="맑은 고딕"/>
          <w:b/>
          <w:sz w:val="36"/>
          <w:rtl w:val="off"/>
        </w:rPr>
        <w:t xml:space="preserve">: </w:t>
      </w:r>
      <w:r>
        <w:rPr>
          <w:rFonts w:ascii="맑은 고딕" w:eastAsia="맑은 고딕" w:hAnsi="맑은 고딕"/>
          <w:b/>
          <w:sz w:val="36"/>
        </w:rPr>
        <w:t>미스트폴</w:t>
      </w:r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/>
          <w:b/>
          <w:sz w:val="40"/>
        </w:rPr>
      </w:pPr>
      <w:bookmarkStart w:id="2" w:name="_Hlk211356453"/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60288" allowOverlap="1" hidden="0">
            <wp:simplePos x="0" y="0"/>
            <wp:positionH relativeFrom="column">
              <wp:posOffset>1282065</wp:posOffset>
            </wp:positionH>
            <wp:positionV relativeFrom="paragraph">
              <wp:posOffset>177800</wp:posOffset>
            </wp:positionV>
            <wp:extent cx="3078480" cy="1143000"/>
            <wp:effectExtent l="0" t="0" r="0" b="0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  <w:bookmarkEnd w:id="2"/>
    </w:p>
    <w:p>
      <w:pPr>
        <w:pStyle w:val="a3"/>
        <w:wordWrap/>
        <w:snapToGrid/>
        <w:jc w:val="right"/>
        <w:pBdr>
          <w:left w:val="none" w:sz="2" w:space="7" w:color="000000"/>
        </w:pBdr>
        <w:rPr>
          <w:rFonts w:ascii="맑은 고딕" w:eastAsia="맑은 고딕" w:hAnsi="맑은 고딕" w:hint="default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6"/>
          <w:rtl w:val="off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6"/>
          <w:rtl w:val="off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본 시방서는 조경시설 및 외부 휴게공간에 설치되는 시설물 공사에 준한다.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1.2 적용기준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2. 구성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2.1 노즐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노즐은 고압 분무 UNIT에서 공급하는 고압상수를 미세한 안개 형태로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분무하기 위하여 설치하며 STS 304의 품질을 가진 것을 사용한다.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부식의 방지처리가 되어 있어야하며, 열처리에 의한 경화가 없어야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미스트 형태 분사를 위해 설치되는 펌프의 용량에 따른 압력을 견딜 수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있어야하며, 현장의 특성에 맞는 노즐의 형태를 적용한다.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(4) 노즐의 설치간격은 기본적으로 50cm 이상을 유지하여 연무형태로 분사가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가능해야 하며 세부사항은 발주처와 협의한다.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2.2 고압호스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고압호스는 펌프의 용량에 따른 압력을 견딜 수 있는 재질로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나일론, 합성섬유, 폴리우레탄 중 현장에 특성에 맞는 재질과 규격을 적용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하고, 기존 설치물에 설치시 호스를 STS 관으로 대체하여 설치한다.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고압호스의 연결 금구는 STS 304의 품질을 가진 것을 사용하며, 배관 지지용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서포트는 파고라 구조물 또는 설치구조물을 이용하여 흔들림을 방지한다.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고압호스에서 미스트폴로 연결되는 설치간격은 기본적으로 1.5M~3M을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유지하여 입자 뭉침 등을 방지하며 세부사항은 발주처와 협의한다.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b/>
          <w:sz w:val="20"/>
          <w:szCs w:val="20"/>
        </w:rPr>
        <w:t>2.3 펌프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펌프는 미스트폴 배치수량, 노즐의 수량 및 연장되는 길이 별 맞춤 용량으로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적용하며, 인버터를 장착하여 에너지절약, 저소음 기능의 포함해야한다.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펌프에는 드레인 기능을 적용하여 정체된 물을 배수 및 공급수압감지로            공회전을 방지하여 펌프파손 및 과열방지의 기능이 적용되어 있어야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펌프는 최소 8시간이상 연속 운전이 가능해야하며 컨트롤 패널과 연동하여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가동범위에 대한 조절이 가능한 조작시스템이 포함되어 있어야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2.4 컨트롤패널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컨트롤패널은 외부에 배치하기에 스테인리스 재질로 제작 설치하여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내구성 및 내식성이 우수해야한다.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내부의 열을 방출하기 위한 기능과, 내부온도 감지센서 등을 적용하여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환경적인 요인을 감지하여 자동으로 동작이 가능 시스템을 갖추어야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관리자만 관리할 수 있도록 시건장치가 되어있어야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3.제작 및 설치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3.1 공급범위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제품이 설치 시 상수도 및 배전함에서 컨트롤패널 전까지의 배관 및 배선 등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부대공사를 포함하여 발주처에서 제공한다.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컨트롤패널부터 제품의 설치되는 현장에 대한 배관 및 배선을 포함한 부대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공사는 당사의 공사 범위에 포함한다. 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3.2 용접 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3.3 볼트접합 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3.4 조립설치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</w:t>
      </w:r>
      <w:r>
        <w:rPr>
          <w:rFonts w:ascii="맑은 고딕" w:eastAsia="맑은 고딕" w:hAnsi="맑은 고딕"/>
          <w:bCs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현장에 반입된 자재는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(6) 포장구간에 시설물 설치 시에는 포장후의 상단 높이를 예측하여 기초부위를        시공함으로써 포장상단에서의 높이가 설계도면과 동일하게 시공되도록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Cs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Cs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 도장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4.1 철재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Cs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5.1 검사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(4) 쿨링포그 시스템의 작동유무에 대한 검사를 실시한다.</w:t>
      </w: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5.2 시험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(1) 표면처리 - 금속부 도막 밀착성 시험은 시험편에 예리한 칼로 칼날이 금속                    바탕에 닿도록 1mm간격으로 서로 직교하도록 괘선을 11줄씩 긋고                   1x1mm의 칸을 100개 만든다. 그위에 KS-A-1528(셀로판 점착테이프)에 규정하는 점착테이프를 붙인 후 즉시 떼어내어 도막이 벗겨지는지 유무를 조사한다.</w:t>
      </w:r>
    </w:p>
    <w:p>
      <w:pPr>
        <w:pStyle w:val="a3"/>
        <w:ind w:left="660" w:hangingChars="300" w:hanging="660"/>
        <w:wordWrap/>
        <w:snapToGrid/>
        <w:jc w:val="left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- 목재부 도막밀착성 시험은 시험편에 예리한 칼날을 약 30°로 기울여 목질바탕을 닿도록 2mm간격으로 서로 직교하는 선을 11줄씩 긋고 2x2mm의 칸을 100개 만든다. 그위에</w:t>
      </w:r>
      <w:r>
        <w:rPr>
          <w:rFonts w:ascii="맑은 고딕" w:eastAsia="맑은 고딕" w:hAnsi="맑은 고딕"/>
          <w:bCs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bCs/>
          <w:sz w:val="20"/>
          <w:szCs w:val="20"/>
        </w:rPr>
        <w:t>KS-A-1528(셀로판 점착 테이프)에 규정하는 점착테이프를 붙인후                   바로 떼어서 도막의 벗겨짐 유무를 조사한다.</w:t>
      </w:r>
    </w:p>
    <w:p>
      <w:pPr>
        <w:pStyle w:val="a3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(2) 기타 - </w:t>
      </w:r>
      <w:r>
        <w:rPr>
          <w:rFonts w:ascii="맑은 고딕" w:eastAsia="맑은 고딕" w:hAnsi="맑은 고딕"/>
          <w:bCs/>
          <w:sz w:val="20"/>
          <w:szCs w:val="20"/>
        </w:rPr>
        <w:t xml:space="preserve"> KS C IEC 60598-1 등기구 - 제1부 일반 요구사항 및 시험</w:t>
      </w:r>
    </w:p>
    <w:p>
      <w:pPr>
        <w:pStyle w:val="a3"/>
        <w:pBdr>
          <w:left w:val="none" w:sz="2" w:space="7" w:color="000000"/>
        </w:pBdr>
        <w:rPr>
          <w:rFonts w:ascii="맑은 고딕" w:eastAsia="맑은 고딕" w:hAnsi="맑은 고딕" w:hint="default"/>
          <w:bCs/>
          <w:szCs w:val="20"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       SPS-KEMC 1108-0567 전동기 제어반</w:t>
      </w:r>
    </w:p>
    <w:p>
      <w:pPr>
        <w:pStyle w:val="a3"/>
        <w:pBdr>
          <w:left w:val="none" w:sz="2" w:space="7" w:color="000000"/>
        </w:pBdr>
        <w:rPr>
          <w:rFonts w:ascii="맑은 고딕" w:eastAsia="맑은 고딕" w:hAnsi="맑은 고딕" w:hint="default"/>
          <w:bCs/>
        </w:rPr>
      </w:pPr>
      <w:r>
        <w:rPr>
          <w:rFonts w:ascii="맑은 고딕" w:eastAsia="맑은 고딕" w:hAnsi="맑은 고딕"/>
          <w:bCs/>
          <w:sz w:val="20"/>
          <w:szCs w:val="20"/>
        </w:rPr>
        <w:t xml:space="preserve">            </w:t>
      </w:r>
      <w:r>
        <w:rPr>
          <w:rFonts w:ascii="맑은 고딕" w:eastAsia="맑은 고딕" w:hAnsi="맑은 고딕"/>
          <w:bCs/>
          <w:sz w:val="20"/>
          <w:szCs w:val="20"/>
        </w:rPr>
        <w:t xml:space="preserve"> 수도법 (KC위생안전기준 인증)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2025-10-16T03:44:28Z</dcterms:modified>
  <cp:version>0900.0100.01</cp:version>
</cp:coreProperties>
</file>