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CCA0" w14:textId="77777777" w:rsidR="006E12AB" w:rsidRDefault="006E12AB">
      <w:pPr>
        <w:pStyle w:val="a3"/>
        <w:wordWrap/>
        <w:snapToGrid/>
        <w:jc w:val="center"/>
        <w:rPr>
          <w:rFonts w:ascii="맑은 고딕" w:eastAsia="맑은 고딕" w:hAnsi="맑은 고딕"/>
        </w:rPr>
      </w:pPr>
      <w:bookmarkStart w:id="0" w:name="_top"/>
      <w:bookmarkEnd w:id="0"/>
    </w:p>
    <w:p w14:paraId="5EB4D2E4" w14:textId="77777777" w:rsidR="006E12AB" w:rsidRDefault="006E12AB">
      <w:pPr>
        <w:pStyle w:val="a3"/>
        <w:wordWrap/>
        <w:snapToGrid/>
        <w:jc w:val="center"/>
        <w:rPr>
          <w:rFonts w:ascii="맑은 고딕" w:eastAsia="맑은 고딕" w:hAnsi="맑은 고딕"/>
          <w:b/>
          <w:sz w:val="60"/>
        </w:rPr>
      </w:pPr>
    </w:p>
    <w:p w14:paraId="5A0B5A94" w14:textId="77777777" w:rsidR="006E12AB" w:rsidRDefault="00554AF4">
      <w:pPr>
        <w:pStyle w:val="a3"/>
        <w:wordWrap/>
        <w:snapToGrid/>
        <w:jc w:val="center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/>
          <w:b/>
          <w:sz w:val="90"/>
        </w:rPr>
        <w:t>특</w:t>
      </w:r>
      <w:proofErr w:type="spellEnd"/>
      <w:r>
        <w:rPr>
          <w:rFonts w:ascii="맑은 고딕" w:eastAsia="맑은 고딕" w:hAnsi="맑은 고딕"/>
          <w:b/>
          <w:sz w:val="90"/>
        </w:rPr>
        <w:t xml:space="preserve"> 기 시 방 서</w:t>
      </w:r>
    </w:p>
    <w:p w14:paraId="009ED33C" w14:textId="77777777" w:rsidR="006E12AB" w:rsidRDefault="006E12AB">
      <w:pPr>
        <w:pStyle w:val="a3"/>
        <w:wordWrap/>
        <w:snapToGrid/>
        <w:jc w:val="center"/>
        <w:rPr>
          <w:rFonts w:ascii="맑은 고딕" w:eastAsia="맑은 고딕" w:hAnsi="맑은 고딕"/>
          <w:b/>
          <w:sz w:val="68"/>
        </w:rPr>
      </w:pPr>
    </w:p>
    <w:p w14:paraId="681A54C0" w14:textId="77777777" w:rsidR="006E12AB" w:rsidRDefault="006E12AB">
      <w:pPr>
        <w:pStyle w:val="a3"/>
        <w:wordWrap/>
        <w:snapToGrid/>
        <w:jc w:val="right"/>
        <w:rPr>
          <w:rFonts w:ascii="맑은 고딕" w:eastAsia="맑은 고딕" w:hAnsi="맑은 고딕"/>
          <w:b/>
          <w:sz w:val="50"/>
        </w:rPr>
      </w:pPr>
    </w:p>
    <w:p w14:paraId="55322D2E" w14:textId="77777777" w:rsidR="006E12AB" w:rsidRDefault="006E12AB"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</w:p>
    <w:p w14:paraId="00FC2471" w14:textId="77777777" w:rsidR="006E12AB" w:rsidRDefault="006E12AB">
      <w:pPr>
        <w:pStyle w:val="a3"/>
        <w:wordWrap/>
        <w:snapToGrid/>
        <w:jc w:val="right"/>
        <w:rPr>
          <w:rFonts w:ascii="맑은 고딕" w:eastAsia="맑은 고딕" w:hAnsi="맑은 고딕"/>
          <w:b/>
          <w:sz w:val="36"/>
        </w:rPr>
      </w:pPr>
    </w:p>
    <w:p w14:paraId="640EB7A6" w14:textId="47C3338D" w:rsidR="006E12AB" w:rsidRDefault="00554AF4">
      <w:pPr>
        <w:pStyle w:val="a3"/>
        <w:wordWrap/>
        <w:snapToGrid/>
        <w:jc w:val="right"/>
        <w:rPr>
          <w:rFonts w:ascii="맑은 고딕" w:eastAsia="맑은 고딕" w:hAnsi="맑은 고딕"/>
        </w:rPr>
      </w:pPr>
      <w:proofErr w:type="spellStart"/>
      <w:r>
        <w:rPr>
          <w:rFonts w:ascii="맑은 고딕" w:eastAsia="맑은 고딕" w:hAnsi="맑은 고딕"/>
          <w:b/>
          <w:sz w:val="36"/>
        </w:rPr>
        <w:t>다온피앤디</w:t>
      </w:r>
      <w:proofErr w:type="spellEnd"/>
    </w:p>
    <w:p w14:paraId="23A848C7" w14:textId="4D1204A2" w:rsidR="006E12AB" w:rsidRDefault="00554AF4">
      <w:pPr>
        <w:pStyle w:val="a3"/>
        <w:wordWrap/>
        <w:snapToGrid/>
        <w:jc w:val="right"/>
        <w:rPr>
          <w:rFonts w:ascii="맑은 고딕" w:eastAsia="맑은 고딕" w:hAnsi="맑은 고딕"/>
        </w:rPr>
      </w:pPr>
      <w:proofErr w:type="gramStart"/>
      <w:r>
        <w:rPr>
          <w:rFonts w:ascii="맑은 고딕" w:eastAsia="맑은 고딕" w:hAnsi="맑은 고딕"/>
          <w:b/>
          <w:sz w:val="36"/>
        </w:rPr>
        <w:t>조경시설물:애견시설</w:t>
      </w:r>
      <w:proofErr w:type="gramEnd"/>
    </w:p>
    <w:p w14:paraId="09FCC7B3" w14:textId="762991E7" w:rsidR="006E12AB" w:rsidRDefault="00A36FB4">
      <w:pPr>
        <w:pStyle w:val="a3"/>
        <w:wordWrap/>
        <w:snapToGrid/>
        <w:jc w:val="right"/>
        <w:rPr>
          <w:rFonts w:ascii="맑은 고딕" w:eastAsia="맑은 고딕" w:hAnsi="맑은 고딕"/>
          <w:b/>
          <w:sz w:val="40"/>
        </w:rPr>
      </w:pPr>
      <w:r>
        <w:rPr>
          <w:rFonts w:ascii="맑은 고딕" w:eastAsia="맑은 고딕" w:hAnsi="맑은 고딕"/>
          <w:noProof/>
        </w:rPr>
        <w:drawing>
          <wp:anchor distT="0" distB="0" distL="0" distR="0" simplePos="0" relativeHeight="251658240" behindDoc="0" locked="0" layoutInCell="1" hidden="0" allowOverlap="1" wp14:anchorId="509767EF" wp14:editId="1ACA32B3">
            <wp:simplePos x="0" y="0"/>
            <wp:positionH relativeFrom="column">
              <wp:posOffset>1186246</wp:posOffset>
            </wp:positionH>
            <wp:positionV relativeFrom="paragraph">
              <wp:posOffset>690600</wp:posOffset>
            </wp:positionV>
            <wp:extent cx="3078480" cy="1143000"/>
            <wp:effectExtent l="0" t="0" r="0" b="0"/>
            <wp:wrapSquare wrapText="bothSides"/>
            <wp:docPr id="1026" name="shape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85C37E" w14:textId="52B7F472" w:rsidR="006E12AB" w:rsidRDefault="006E12AB">
      <w:pPr>
        <w:pStyle w:val="a3"/>
        <w:wordWrap/>
        <w:snapToGrid/>
        <w:jc w:val="right"/>
        <w:rPr>
          <w:rFonts w:ascii="맑은 고딕" w:eastAsia="맑은 고딕" w:hAnsi="맑은 고딕"/>
        </w:rPr>
      </w:pPr>
    </w:p>
    <w:p w14:paraId="43A98BB8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 w:val="26"/>
        </w:rPr>
      </w:pPr>
    </w:p>
    <w:p w14:paraId="70940248" w14:textId="77777777" w:rsidR="00A36FB4" w:rsidRDefault="00A36FB4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7A0B8533" w14:textId="56AAC6A8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lastRenderedPageBreak/>
        <w:t>1. 일반사항</w:t>
      </w:r>
    </w:p>
    <w:p w14:paraId="2701EE04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1.1 적용범위</w:t>
      </w:r>
    </w:p>
    <w:p w14:paraId="1014C5EE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본 시방서는 조경시설 및 외부 휴게공간에 설치되는 시설물 공사에 준한다.</w:t>
      </w:r>
    </w:p>
    <w:p w14:paraId="07F9F0F7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1A9DDB5F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1.2 적용기준</w:t>
      </w:r>
    </w:p>
    <w:p w14:paraId="34F5825C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본 시방서의 제품은 시방서 및 설계도면의 의하여 제작하고 명기되지 않은         </w:t>
      </w:r>
    </w:p>
    <w:p w14:paraId="4996DBC3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사항은 한국공업규격(</w:t>
      </w:r>
      <w:proofErr w:type="spellStart"/>
      <w:r>
        <w:rPr>
          <w:rFonts w:ascii="맑은 고딕" w:eastAsia="맑은 고딕" w:hAnsi="맑은 고딕"/>
          <w:bCs/>
          <w:szCs w:val="20"/>
        </w:rPr>
        <w:t>k.s</w:t>
      </w:r>
      <w:proofErr w:type="spellEnd"/>
      <w:r>
        <w:rPr>
          <w:rFonts w:ascii="맑은 고딕" w:eastAsia="맑은 고딕" w:hAnsi="맑은 고딕"/>
          <w:bCs/>
          <w:szCs w:val="20"/>
        </w:rPr>
        <w:t>)</w:t>
      </w:r>
      <w:proofErr w:type="spellStart"/>
      <w:r>
        <w:rPr>
          <w:rFonts w:ascii="맑은 고딕" w:eastAsia="맑은 고딕" w:hAnsi="맑은 고딕"/>
          <w:bCs/>
          <w:szCs w:val="20"/>
        </w:rPr>
        <w:t>에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적합하게 제작하며 그 외의 사항은 발주처와 </w:t>
      </w:r>
    </w:p>
    <w:p w14:paraId="3B79A799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 w:hint="eastAsia"/>
          <w:bCs/>
          <w:szCs w:val="20"/>
        </w:rPr>
        <w:t>협</w:t>
      </w:r>
      <w:r>
        <w:rPr>
          <w:rFonts w:ascii="맑은 고딕" w:eastAsia="맑은 고딕" w:hAnsi="맑은 고딕"/>
          <w:bCs/>
          <w:szCs w:val="20"/>
        </w:rPr>
        <w:t>의하여 제작한다.</w:t>
      </w:r>
    </w:p>
    <w:p w14:paraId="451F77AB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633EA1DA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>2. 재질</w:t>
      </w:r>
    </w:p>
    <w:p w14:paraId="74D41404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2.1 목재</w:t>
      </w:r>
    </w:p>
    <w:p w14:paraId="0710C5E8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목재의 수종은 천연 방부재 계열의 </w:t>
      </w:r>
      <w:proofErr w:type="spellStart"/>
      <w:r>
        <w:rPr>
          <w:rFonts w:ascii="맑은 고딕" w:eastAsia="맑은 고딕" w:hAnsi="맑은 고딕"/>
          <w:bCs/>
          <w:szCs w:val="20"/>
        </w:rPr>
        <w:t>남양재</w:t>
      </w:r>
      <w:proofErr w:type="spellEnd"/>
      <w:r>
        <w:rPr>
          <w:rFonts w:ascii="맑은 고딕" w:eastAsia="맑은 고딕" w:hAnsi="맑은 고딕"/>
          <w:bCs/>
          <w:szCs w:val="20"/>
        </w:rPr>
        <w:t>(</w:t>
      </w:r>
      <w:proofErr w:type="spellStart"/>
      <w:r>
        <w:rPr>
          <w:rFonts w:ascii="맑은 고딕" w:eastAsia="맑은 고딕" w:hAnsi="맑은 고딕"/>
          <w:bCs/>
          <w:szCs w:val="20"/>
        </w:rPr>
        <w:t>하드우드</w:t>
      </w:r>
      <w:proofErr w:type="spellEnd"/>
      <w:r>
        <w:rPr>
          <w:rFonts w:ascii="맑은 고딕" w:eastAsia="맑은 고딕" w:hAnsi="맑은 고딕"/>
          <w:bCs/>
          <w:szCs w:val="20"/>
        </w:rPr>
        <w:t>)를 사용한다.</w:t>
      </w:r>
    </w:p>
    <w:p w14:paraId="298510DA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목재는 갈라짐이나 뒤틀림이 </w:t>
      </w:r>
      <w:proofErr w:type="spellStart"/>
      <w:r>
        <w:rPr>
          <w:rFonts w:ascii="맑은 고딕" w:eastAsia="맑은 고딕" w:hAnsi="맑은 고딕"/>
          <w:bCs/>
          <w:szCs w:val="20"/>
        </w:rPr>
        <w:t>없어야하며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</w:t>
      </w:r>
      <w:proofErr w:type="spellStart"/>
      <w:r>
        <w:rPr>
          <w:rFonts w:ascii="맑은 고딕" w:eastAsia="맑은 고딕" w:hAnsi="맑은 고딕"/>
          <w:bCs/>
          <w:szCs w:val="20"/>
        </w:rPr>
        <w:t>무절품을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사용하여야 한다.</w:t>
      </w:r>
    </w:p>
    <w:p w14:paraId="70E43E2E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(3) 조경재의 품질은 건조와 표면마감에 따라 좌우되므로 자연건조 90일 이상,         </w:t>
      </w:r>
    </w:p>
    <w:p w14:paraId="7F325362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증기건조 20일후, 대패가공 한다. 이때 </w:t>
      </w:r>
      <w:proofErr w:type="spellStart"/>
      <w:r>
        <w:rPr>
          <w:rFonts w:ascii="맑은 고딕" w:eastAsia="맑은 고딕" w:hAnsi="맑은 고딕"/>
          <w:bCs/>
          <w:szCs w:val="20"/>
        </w:rPr>
        <w:t>함수율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18% 이하로 건조 </w:t>
      </w:r>
      <w:proofErr w:type="spellStart"/>
      <w:r>
        <w:rPr>
          <w:rFonts w:ascii="맑은 고딕" w:eastAsia="맑은 고딕" w:hAnsi="맑은 고딕"/>
          <w:bCs/>
          <w:szCs w:val="20"/>
        </w:rPr>
        <w:t>하여야한다</w:t>
      </w:r>
      <w:proofErr w:type="spellEnd"/>
      <w:r>
        <w:rPr>
          <w:rFonts w:ascii="맑은 고딕" w:eastAsia="맑은 고딕" w:hAnsi="맑은 고딕"/>
          <w:bCs/>
          <w:szCs w:val="20"/>
        </w:rPr>
        <w:t>.</w:t>
      </w:r>
    </w:p>
    <w:p w14:paraId="48B5CD5D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01943EE2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2.2 철재</w:t>
      </w:r>
    </w:p>
    <w:p w14:paraId="2F3D0C44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철재는 갈라짐이나, 흠, 녹, 비틀림 등의 결점이 없는 것이어야 하며,</w:t>
      </w:r>
    </w:p>
    <w:p w14:paraId="540C4DF7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한국산업규격(KSD 3507)과 동등하거나 </w:t>
      </w:r>
      <w:proofErr w:type="spellStart"/>
      <w:r>
        <w:rPr>
          <w:rFonts w:ascii="맑은 고딕" w:eastAsia="맑은 고딕" w:hAnsi="맑은 고딕"/>
          <w:bCs/>
          <w:szCs w:val="20"/>
        </w:rPr>
        <w:t>그이상의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품질을 가진 것을 사용한다.</w:t>
      </w:r>
    </w:p>
    <w:p w14:paraId="7717EA1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산화, 부식의 방지를 위해 필히 빈틈없이 </w:t>
      </w:r>
      <w:proofErr w:type="spellStart"/>
      <w:r>
        <w:rPr>
          <w:rFonts w:ascii="맑은 고딕" w:eastAsia="맑은 고딕" w:hAnsi="맑은 고딕"/>
          <w:bCs/>
          <w:szCs w:val="20"/>
        </w:rPr>
        <w:t>녹막이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도장을 하여야 한다.</w:t>
      </w:r>
    </w:p>
    <w:p w14:paraId="6B7C3EFB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18892017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2.3 석재</w:t>
      </w:r>
    </w:p>
    <w:p w14:paraId="5FA0E466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</w:t>
      </w:r>
      <w:proofErr w:type="spellStart"/>
      <w:r>
        <w:rPr>
          <w:rFonts w:ascii="맑은 고딕" w:eastAsia="맑은 고딕" w:hAnsi="맑은 고딕"/>
          <w:bCs/>
          <w:szCs w:val="20"/>
        </w:rPr>
        <w:t>석재는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형상, 치수, 재질, 미관, 마감상태 등이 양호한 것을 </w:t>
      </w:r>
      <w:proofErr w:type="spellStart"/>
      <w:r>
        <w:rPr>
          <w:rFonts w:ascii="맑은 고딕" w:eastAsia="맑은 고딕" w:hAnsi="맑은 고딕"/>
          <w:bCs/>
          <w:szCs w:val="20"/>
        </w:rPr>
        <w:t>사용햐여야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          </w:t>
      </w:r>
    </w:p>
    <w:p w14:paraId="3A671949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한다.</w:t>
      </w:r>
    </w:p>
    <w:p w14:paraId="2041E581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(2) 종류 및 산지에 다른 고유의 특성을 지녀야 하며, 부적당한 색깔이나              </w:t>
      </w:r>
    </w:p>
    <w:p w14:paraId="1B0E537E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갈라짐, 깨진 것, 오염된 </w:t>
      </w:r>
      <w:proofErr w:type="spellStart"/>
      <w:r>
        <w:rPr>
          <w:rFonts w:ascii="맑은 고딕" w:eastAsia="맑은 고딕" w:hAnsi="맑은 고딕"/>
          <w:bCs/>
          <w:szCs w:val="20"/>
        </w:rPr>
        <w:t>것등을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반입해서는 안된다.</w:t>
      </w:r>
    </w:p>
    <w:p w14:paraId="0FA5C325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653C290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lastRenderedPageBreak/>
        <w:t xml:space="preserve"> 2.4 </w:t>
      </w:r>
      <w:proofErr w:type="spellStart"/>
      <w:r>
        <w:rPr>
          <w:rFonts w:ascii="맑은 고딕" w:eastAsia="맑은 고딕" w:hAnsi="맑은 고딕"/>
          <w:b/>
          <w:szCs w:val="20"/>
        </w:rPr>
        <w:t>폴리카보네이트</w:t>
      </w:r>
      <w:proofErr w:type="spellEnd"/>
    </w:p>
    <w:p w14:paraId="4FFEA910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KS M ISO 7391-1 규정에 따른 것으로 두께 3mm 이상의 것을 사용한다.</w:t>
      </w:r>
    </w:p>
    <w:p w14:paraId="77A8BB80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발주처의 </w:t>
      </w:r>
      <w:proofErr w:type="spellStart"/>
      <w:r>
        <w:rPr>
          <w:rFonts w:ascii="맑은 고딕" w:eastAsia="맑은 고딕" w:hAnsi="맑은 고딕"/>
          <w:bCs/>
          <w:szCs w:val="20"/>
        </w:rPr>
        <w:t>요구시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두께의 변경이 가능하도록 한다.</w:t>
      </w:r>
    </w:p>
    <w:p w14:paraId="1F2E24E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또한, 발주처의 </w:t>
      </w:r>
      <w:proofErr w:type="spellStart"/>
      <w:r>
        <w:rPr>
          <w:rFonts w:ascii="맑은 고딕" w:eastAsia="맑은 고딕" w:hAnsi="맑은 고딕"/>
          <w:bCs/>
          <w:szCs w:val="20"/>
        </w:rPr>
        <w:t>요구시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</w:t>
      </w:r>
      <w:proofErr w:type="spellStart"/>
      <w:r>
        <w:rPr>
          <w:rFonts w:ascii="맑은 고딕" w:eastAsia="맑은 고딕" w:hAnsi="맑은 고딕"/>
          <w:bCs/>
          <w:szCs w:val="20"/>
        </w:rPr>
        <w:t>복층판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변경도 가능하도록 한다.</w:t>
      </w:r>
    </w:p>
    <w:p w14:paraId="484A47B9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(2) </w:t>
      </w:r>
      <w:proofErr w:type="spellStart"/>
      <w:r>
        <w:rPr>
          <w:rFonts w:ascii="맑은 고딕" w:eastAsia="맑은 고딕" w:hAnsi="맑은 고딕"/>
          <w:bCs/>
          <w:szCs w:val="20"/>
        </w:rPr>
        <w:t>폴리카보네이트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시트는 보호필름으로 </w:t>
      </w:r>
      <w:proofErr w:type="spellStart"/>
      <w:r>
        <w:rPr>
          <w:rFonts w:ascii="맑은 고딕" w:eastAsia="맑은 고딕" w:hAnsi="맑은 고딕"/>
          <w:bCs/>
          <w:szCs w:val="20"/>
        </w:rPr>
        <w:t>보양된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상태로 현장에 반입되어야            </w:t>
      </w:r>
    </w:p>
    <w:p w14:paraId="64AE5893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하며, 가공 및 시공과정에서 부득이한 경우가 아니면 보호필름을 제거하거나</w:t>
      </w:r>
    </w:p>
    <w:p w14:paraId="0F88ED7A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훼손하면 안된다.</w:t>
      </w:r>
    </w:p>
    <w:p w14:paraId="130B0E48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(3) </w:t>
      </w:r>
      <w:proofErr w:type="spellStart"/>
      <w:r>
        <w:rPr>
          <w:rFonts w:ascii="맑은 고딕" w:eastAsia="맑은 고딕" w:hAnsi="맑은 고딕"/>
          <w:bCs/>
          <w:szCs w:val="20"/>
        </w:rPr>
        <w:t>폴리카보네이트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시트는 직사광선에 직접 노출되지 않고 비가 새지 않으며          </w:t>
      </w:r>
    </w:p>
    <w:p w14:paraId="2A2F9309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통풍이 잘되는 실내에 보관하고, 주위의 온도가 40℃ 이상 상승치 않도록          </w:t>
      </w:r>
    </w:p>
    <w:p w14:paraId="7E28808E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한다.</w:t>
      </w:r>
    </w:p>
    <w:p w14:paraId="72D8C1F1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00952C39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2.5 알루미늄재</w:t>
      </w:r>
    </w:p>
    <w:p w14:paraId="75CE28F2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AL-EXTRUDED BAR의 기둥재는 외장재와의 결합을 하여 미적인 기능과, 구조적        </w:t>
      </w:r>
    </w:p>
    <w:p w14:paraId="0105CC7F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기능을 가지도록 제작한다. 열처리 후 </w:t>
      </w:r>
      <w:proofErr w:type="spellStart"/>
      <w:r>
        <w:rPr>
          <w:rFonts w:ascii="맑은 고딕" w:eastAsia="맑은 고딕" w:hAnsi="맑은 고딕"/>
          <w:bCs/>
          <w:szCs w:val="20"/>
        </w:rPr>
        <w:t>분체도장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으로 마감한다.</w:t>
      </w:r>
    </w:p>
    <w:p w14:paraId="5682D77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AL-CASTING의 규격은 KSD-2334 이며 재질은 AC-4A, AC-7A 생산품 </w:t>
      </w:r>
      <w:proofErr w:type="spellStart"/>
      <w:r>
        <w:rPr>
          <w:rFonts w:ascii="맑은 고딕" w:eastAsia="맑은 고딕" w:hAnsi="맑은 고딕"/>
          <w:bCs/>
          <w:szCs w:val="20"/>
        </w:rPr>
        <w:t>이어야하나</w:t>
      </w:r>
      <w:proofErr w:type="spellEnd"/>
    </w:p>
    <w:p w14:paraId="7490B3F7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조경, 건축자재는 일반 재질 알루미늄 순도율이 88%이상 품도 가능하다.</w:t>
      </w:r>
    </w:p>
    <w:p w14:paraId="6E54F7D3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</w:t>
      </w:r>
      <w:proofErr w:type="spellStart"/>
      <w:r>
        <w:rPr>
          <w:rFonts w:ascii="맑은 고딕" w:eastAsia="맑은 고딕" w:hAnsi="맑은 고딕"/>
          <w:bCs/>
          <w:szCs w:val="20"/>
        </w:rPr>
        <w:t>이또한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열처리 후 </w:t>
      </w:r>
      <w:proofErr w:type="spellStart"/>
      <w:r>
        <w:rPr>
          <w:rFonts w:ascii="맑은 고딕" w:eastAsia="맑은 고딕" w:hAnsi="맑은 고딕"/>
          <w:bCs/>
          <w:szCs w:val="20"/>
        </w:rPr>
        <w:t>분체도장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으로 마감한다.</w:t>
      </w:r>
    </w:p>
    <w:p w14:paraId="4CB44579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3ADA1B7C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2.6 기타재료</w:t>
      </w:r>
    </w:p>
    <w:p w14:paraId="5C5D266F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강화유리는 KSL 2002 강화유리 규정에 합격한 것이나 동등 이상의 것으로          </w:t>
      </w:r>
    </w:p>
    <w:p w14:paraId="7C98479D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하며 최소 두께는 8MM 이상의 것으로 한다.</w:t>
      </w:r>
    </w:p>
    <w:p w14:paraId="79004353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조립볼트와 보강 재료는 KS 정품으로 조립 설치한다.</w:t>
      </w:r>
    </w:p>
    <w:p w14:paraId="1A23B992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(3) </w:t>
      </w:r>
      <w:proofErr w:type="spellStart"/>
      <w:r>
        <w:rPr>
          <w:rFonts w:ascii="맑은 고딕" w:eastAsia="맑은 고딕" w:hAnsi="맑은 고딕"/>
          <w:bCs/>
          <w:szCs w:val="20"/>
        </w:rPr>
        <w:t>부재료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규격은 설계도면을 </w:t>
      </w:r>
      <w:proofErr w:type="spellStart"/>
      <w:r>
        <w:rPr>
          <w:rFonts w:ascii="맑은 고딕" w:eastAsia="맑은 고딕" w:hAnsi="맑은 고딕"/>
          <w:bCs/>
          <w:szCs w:val="20"/>
        </w:rPr>
        <w:t>기준하며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현장에 따라 상향 </w:t>
      </w:r>
      <w:proofErr w:type="spellStart"/>
      <w:r>
        <w:rPr>
          <w:rFonts w:ascii="맑은 고딕" w:eastAsia="맑은 고딕" w:hAnsi="맑은 고딕"/>
          <w:bCs/>
          <w:szCs w:val="20"/>
        </w:rPr>
        <w:t>조정할수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있다.</w:t>
      </w:r>
    </w:p>
    <w:p w14:paraId="6792D799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(4) 목재와 금속 결속품은 기온에 따라 수축현상이 있으므로 보완을 한다.</w:t>
      </w:r>
    </w:p>
    <w:p w14:paraId="07660651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(5) </w:t>
      </w:r>
      <w:proofErr w:type="spellStart"/>
      <w:r>
        <w:rPr>
          <w:rFonts w:ascii="맑은 고딕" w:eastAsia="맑은 고딕" w:hAnsi="맑은 고딕"/>
          <w:bCs/>
          <w:szCs w:val="20"/>
        </w:rPr>
        <w:t>주ㆍ부재료의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컬러는 전체컬러와 동일하게 처리한다.</w:t>
      </w:r>
    </w:p>
    <w:p w14:paraId="700CFCF5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3D51314D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6EDD18D5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lastRenderedPageBreak/>
        <w:t>3. 접합 및 조립설치</w:t>
      </w:r>
    </w:p>
    <w:p w14:paraId="330E969F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3.1 용접</w:t>
      </w:r>
    </w:p>
    <w:p w14:paraId="51B51353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용접은 해당 작업의 시험이나 그 이상의 검정시험에 합격한 용접공에 의해         </w:t>
      </w:r>
    </w:p>
    <w:p w14:paraId="2AB32E85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시행해야 한다. 단, 동등한 시험이나 그 이상의 전문지식과 경험을 충분히         </w:t>
      </w:r>
    </w:p>
    <w:p w14:paraId="370C7637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갖추고 있다고 감독자가 인정하는 경우에는 이규정을 따르지 않아도 된다.</w:t>
      </w:r>
    </w:p>
    <w:p w14:paraId="741FE3E9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(2) 용접에 의한 </w:t>
      </w:r>
      <w:proofErr w:type="spellStart"/>
      <w:r>
        <w:rPr>
          <w:rFonts w:ascii="맑은 고딕" w:eastAsia="맑은 고딕" w:hAnsi="맑은 고딕"/>
          <w:bCs/>
          <w:szCs w:val="20"/>
        </w:rPr>
        <w:t>수축량과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찌그러짐 등의 변형을 고려하여 마무리 규격의 형상을        </w:t>
      </w:r>
    </w:p>
    <w:p w14:paraId="067749E0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얻을 수 있도록 </w:t>
      </w:r>
      <w:proofErr w:type="spellStart"/>
      <w:r>
        <w:rPr>
          <w:rFonts w:ascii="맑은 고딕" w:eastAsia="맑은 고딕" w:hAnsi="맑은 고딕"/>
          <w:bCs/>
          <w:szCs w:val="20"/>
        </w:rPr>
        <w:t>해야한다</w:t>
      </w:r>
      <w:proofErr w:type="spellEnd"/>
      <w:r>
        <w:rPr>
          <w:rFonts w:ascii="맑은 고딕" w:eastAsia="맑은 고딕" w:hAnsi="맑은 고딕"/>
          <w:bCs/>
          <w:szCs w:val="20"/>
        </w:rPr>
        <w:t>.</w:t>
      </w:r>
    </w:p>
    <w:p w14:paraId="2959BCF7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(3) 철재의 용접은 가스용접, 불활성가스, 아크용접, </w:t>
      </w:r>
      <w:proofErr w:type="spellStart"/>
      <w:r>
        <w:rPr>
          <w:rFonts w:ascii="맑은 고딕" w:eastAsia="맑은 고딕" w:hAnsi="맑은 고딕"/>
          <w:bCs/>
          <w:szCs w:val="20"/>
        </w:rPr>
        <w:t>알곤가스용접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등의 방법을        </w:t>
      </w:r>
    </w:p>
    <w:p w14:paraId="72B3181C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사용하고 재료 및 부위별 용접방식의 선택은 설계도면에 따른다.</w:t>
      </w:r>
    </w:p>
    <w:p w14:paraId="5BB0D5D8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(4) 부재의 용접면은 용접전의 페인트, 기름, 녹, 수분, 스케일 등 용접에             </w:t>
      </w:r>
    </w:p>
    <w:p w14:paraId="2A089A0F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지장이 있는 것을 제거하여야 한다.</w:t>
      </w:r>
    </w:p>
    <w:p w14:paraId="270AFC14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(5) 용접기와 부속기구는 주어진 용접조건에 알맞은 구조 및 기능을 갖고              </w:t>
      </w:r>
    </w:p>
    <w:p w14:paraId="6B7561CE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안전하게 용접할 수 있어야 한다.</w:t>
      </w:r>
    </w:p>
    <w:p w14:paraId="1136142D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(6) 용접봉은 해당 한국산업규격에 합격된 것이어야 하고 실제 사용할 위치와</w:t>
      </w:r>
    </w:p>
    <w:p w14:paraId="62B0AB08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기타 조건에 대하여 제작자가 추천하는 크기와 분류번호를 가진 피복된            </w:t>
      </w:r>
    </w:p>
    <w:p w14:paraId="2E9E43F3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용접봉이어야 한다.</w:t>
      </w:r>
    </w:p>
    <w:p w14:paraId="08A1864A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</w:t>
      </w:r>
    </w:p>
    <w:p w14:paraId="37A9838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3.2 </w:t>
      </w:r>
      <w:proofErr w:type="spellStart"/>
      <w:r>
        <w:rPr>
          <w:rFonts w:ascii="맑은 고딕" w:eastAsia="맑은 고딕" w:hAnsi="맑은 고딕"/>
          <w:b/>
          <w:szCs w:val="20"/>
        </w:rPr>
        <w:t>볼트접합</w:t>
      </w:r>
      <w:proofErr w:type="spellEnd"/>
      <w:r>
        <w:rPr>
          <w:rFonts w:ascii="맑은 고딕" w:eastAsia="맑은 고딕" w:hAnsi="맑은 고딕"/>
          <w:b/>
          <w:szCs w:val="20"/>
        </w:rPr>
        <w:t xml:space="preserve"> </w:t>
      </w:r>
    </w:p>
    <w:p w14:paraId="7D277FD2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볼트는 나사를 무리하게 조여 손상되지 않도록 하고 정확하게 구멍 속으로         </w:t>
      </w:r>
    </w:p>
    <w:p w14:paraId="6F5F9AD1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 w:hint="eastAsia"/>
          <w:bCs/>
          <w:szCs w:val="20"/>
        </w:rPr>
        <w:t xml:space="preserve">    박아</w:t>
      </w:r>
      <w:r>
        <w:rPr>
          <w:rFonts w:ascii="맑은 고딕" w:eastAsia="맑은 고딕" w:hAnsi="맑은 고딕"/>
          <w:bCs/>
          <w:szCs w:val="20"/>
        </w:rPr>
        <w:t xml:space="preserve">야 하며 볼트 </w:t>
      </w:r>
      <w:proofErr w:type="spellStart"/>
      <w:r>
        <w:rPr>
          <w:rFonts w:ascii="맑은 고딕" w:eastAsia="맑은 고딕" w:hAnsi="맑은 고딕"/>
          <w:bCs/>
          <w:szCs w:val="20"/>
        </w:rPr>
        <w:t>박기중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볼트머리가 손상되지 않도록 </w:t>
      </w:r>
      <w:proofErr w:type="spellStart"/>
      <w:r>
        <w:rPr>
          <w:rFonts w:ascii="맑은 고딕" w:eastAsia="맑은 고딕" w:hAnsi="맑은 고딕"/>
          <w:bCs/>
          <w:szCs w:val="20"/>
        </w:rPr>
        <w:t>해야한다</w:t>
      </w:r>
      <w:proofErr w:type="spellEnd"/>
      <w:r>
        <w:rPr>
          <w:rFonts w:ascii="맑은 고딕" w:eastAsia="맑은 고딕" w:hAnsi="맑은 고딕"/>
          <w:bCs/>
          <w:szCs w:val="20"/>
        </w:rPr>
        <w:t>.</w:t>
      </w:r>
    </w:p>
    <w:p w14:paraId="41C323C2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(2) 볼트 조임 전후에 불량볼트의 유무를 검사하고 불량 볼트에 대해서는 적절한        </w:t>
      </w:r>
    </w:p>
    <w:p w14:paraId="763FAF9A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보완조치를 해야 한다.</w:t>
      </w:r>
    </w:p>
    <w:p w14:paraId="044096E4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(3) </w:t>
      </w:r>
      <w:proofErr w:type="spellStart"/>
      <w:r>
        <w:rPr>
          <w:rFonts w:ascii="맑은 고딕" w:eastAsia="맑은 고딕" w:hAnsi="맑은 고딕"/>
          <w:bCs/>
          <w:szCs w:val="20"/>
        </w:rPr>
        <w:t>와셔는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볼트머리 아래 및 너트 아래에 각각 한 장씩 사용하며 볼트머리와          </w:t>
      </w:r>
    </w:p>
    <w:p w14:paraId="3CE96AB1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너트는 정연하게 놓여야 한다.</w:t>
      </w:r>
    </w:p>
    <w:p w14:paraId="61AED52D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(4) 볼트 조임은 </w:t>
      </w:r>
      <w:proofErr w:type="spellStart"/>
      <w:r>
        <w:rPr>
          <w:rFonts w:ascii="맑은 고딕" w:eastAsia="맑은 고딕" w:hAnsi="맑은 고딕"/>
          <w:bCs/>
          <w:szCs w:val="20"/>
        </w:rPr>
        <w:t>핸드렌치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, </w:t>
      </w:r>
      <w:proofErr w:type="spellStart"/>
      <w:r>
        <w:rPr>
          <w:rFonts w:ascii="맑은 고딕" w:eastAsia="맑은 고딕" w:hAnsi="맑은 고딕"/>
          <w:bCs/>
          <w:szCs w:val="20"/>
        </w:rPr>
        <w:t>임펙트렌치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등을 이용하여 느슨하지 않도록 적절히         </w:t>
      </w:r>
    </w:p>
    <w:p w14:paraId="0B350720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조이며 구조상 중요한 부분에는 스프링 </w:t>
      </w:r>
      <w:proofErr w:type="spellStart"/>
      <w:r>
        <w:rPr>
          <w:rFonts w:ascii="맑은 고딕" w:eastAsia="맑은 고딕" w:hAnsi="맑은 고딕"/>
          <w:bCs/>
          <w:szCs w:val="20"/>
        </w:rPr>
        <w:t>와셔나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</w:t>
      </w:r>
      <w:proofErr w:type="spellStart"/>
      <w:r>
        <w:rPr>
          <w:rFonts w:ascii="맑은 고딕" w:eastAsia="맑은 고딕" w:hAnsi="맑은 고딕"/>
          <w:bCs/>
          <w:szCs w:val="20"/>
        </w:rPr>
        <w:t>잠금기가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붙은 것을 사용하여        </w:t>
      </w:r>
    </w:p>
    <w:p w14:paraId="0C5F200F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풀림을 방지해야 한다.</w:t>
      </w:r>
    </w:p>
    <w:p w14:paraId="385D933A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78E5DF40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3.3 조립설치</w:t>
      </w:r>
    </w:p>
    <w:p w14:paraId="25B28985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설치위치는 설계도면에 따르며 감독자의 지시를 받아야 한다.</w:t>
      </w:r>
    </w:p>
    <w:p w14:paraId="4D52831D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</w:t>
      </w:r>
      <w:proofErr w:type="spellStart"/>
      <w:r>
        <w:rPr>
          <w:rFonts w:ascii="맑은 고딕" w:eastAsia="맑은 고딕" w:hAnsi="맑은 고딕"/>
          <w:bCs/>
          <w:szCs w:val="20"/>
        </w:rPr>
        <w:t>시공전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바닥을 다짐하여 평탄하게 한다.</w:t>
      </w:r>
    </w:p>
    <w:p w14:paraId="717CDA88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(3) 현장에 반입된 부재는 가급적 빠른 시간 내에 설치하며, 공정 관리상              </w:t>
      </w:r>
    </w:p>
    <w:p w14:paraId="5DD87BEE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불가피하게 장기간 보관할 경우에는 적절한 보관조치를 취해야 한다.</w:t>
      </w:r>
    </w:p>
    <w:p w14:paraId="55174249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(4) 설치 시에는 수직, 수평이 잘 맞아야 하고 뒤틀림 없이 직선이어야 한다.</w:t>
      </w:r>
    </w:p>
    <w:p w14:paraId="7856C8C7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볼트 및 지주대로 연결, </w:t>
      </w:r>
      <w:proofErr w:type="spellStart"/>
      <w:r>
        <w:rPr>
          <w:rFonts w:ascii="맑은 고딕" w:eastAsia="맑은 고딕" w:hAnsi="맑은 고딕"/>
          <w:bCs/>
          <w:szCs w:val="20"/>
        </w:rPr>
        <w:t>지지시킨다</w:t>
      </w:r>
      <w:proofErr w:type="spellEnd"/>
      <w:r>
        <w:rPr>
          <w:rFonts w:ascii="맑은 고딕" w:eastAsia="맑은 고딕" w:hAnsi="맑은 고딕"/>
          <w:bCs/>
          <w:szCs w:val="20"/>
        </w:rPr>
        <w:t>.</w:t>
      </w:r>
    </w:p>
    <w:p w14:paraId="34616777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(5) 기초 콘크리트는 설계도면 규격이며, 배합비는 건축 및 토목공사에 </w:t>
      </w:r>
      <w:proofErr w:type="spellStart"/>
      <w:r>
        <w:rPr>
          <w:rFonts w:ascii="맑은 고딕" w:eastAsia="맑은 고딕" w:hAnsi="맑은 고딕"/>
          <w:bCs/>
          <w:szCs w:val="20"/>
        </w:rPr>
        <w:t>기준한다</w:t>
      </w:r>
      <w:proofErr w:type="spellEnd"/>
    </w:p>
    <w:p w14:paraId="17CB0CBC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(6) 연결고정부분은 정밀절단, 천공하여 조립한다.</w:t>
      </w:r>
    </w:p>
    <w:p w14:paraId="63B44D3B" w14:textId="77777777" w:rsidR="006E12AB" w:rsidRDefault="00554AF4">
      <w:pPr>
        <w:pStyle w:val="a3"/>
        <w:wordWrap/>
        <w:snapToGrid/>
        <w:ind w:firstLine="225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(7) 포장구간에 시설물 설치 시에는 포장후의 상단 높이를 예측하여 기초부위를        </w:t>
      </w:r>
    </w:p>
    <w:p w14:paraId="1703AE79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시공함으로써 포장상단에서의 높이가 설계도면과 동일하게 시공되도록 한다.</w:t>
      </w:r>
    </w:p>
    <w:p w14:paraId="034909DD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240C15B7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>4. 도장</w:t>
      </w:r>
    </w:p>
    <w:p w14:paraId="7EA9CA52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4.1 목재</w:t>
      </w:r>
    </w:p>
    <w:p w14:paraId="52C3AF83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수분함수율이 양호한 품질을 사용한다.</w:t>
      </w:r>
    </w:p>
    <w:p w14:paraId="38311B05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피도면에 유분, 먼지, 이물질 등을 완전히 제거한 후 작업한다.</w:t>
      </w:r>
    </w:p>
    <w:p w14:paraId="4EE64DE8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(3) 대패가공 후 방부, 방충 </w:t>
      </w:r>
      <w:proofErr w:type="spellStart"/>
      <w:r>
        <w:rPr>
          <w:rFonts w:ascii="맑은 고딕" w:eastAsia="맑은 고딕" w:hAnsi="맑은 고딕"/>
          <w:bCs/>
          <w:szCs w:val="20"/>
        </w:rPr>
        <w:t>수성스테인을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2회 도장한다.</w:t>
      </w:r>
    </w:p>
    <w:p w14:paraId="744794DF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(4) </w:t>
      </w:r>
      <w:proofErr w:type="spellStart"/>
      <w:r>
        <w:rPr>
          <w:rFonts w:ascii="맑은 고딕" w:eastAsia="맑은 고딕" w:hAnsi="맑은 고딕"/>
          <w:bCs/>
          <w:szCs w:val="20"/>
        </w:rPr>
        <w:t>도장후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표면에 얼룩이 생기지 않도록 하고 건조를 철저히 한다.</w:t>
      </w:r>
    </w:p>
    <w:p w14:paraId="792715CF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6B7CAE7E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4.2 철재</w:t>
      </w:r>
    </w:p>
    <w:p w14:paraId="293F0133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탈지 및 </w:t>
      </w:r>
      <w:proofErr w:type="spellStart"/>
      <w:r>
        <w:rPr>
          <w:rFonts w:ascii="맑은 고딕" w:eastAsia="맑은 고딕" w:hAnsi="맑은 고딕"/>
          <w:bCs/>
          <w:szCs w:val="20"/>
        </w:rPr>
        <w:t>프라이머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하도 작업을 철저히 한다.</w:t>
      </w:r>
    </w:p>
    <w:p w14:paraId="711DCAE1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(2) 하도 열처리 후 </w:t>
      </w:r>
      <w:proofErr w:type="spellStart"/>
      <w:r>
        <w:rPr>
          <w:rFonts w:ascii="맑은 고딕" w:eastAsia="맑은 고딕" w:hAnsi="맑은 고딕"/>
          <w:bCs/>
          <w:szCs w:val="20"/>
        </w:rPr>
        <w:t>녹막이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도장을 필히 빈틈없이 한다.</w:t>
      </w:r>
    </w:p>
    <w:p w14:paraId="1EFD134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(3) 아크릴 우레탄 도장 2~3회 혹은 불소수치 도장을 한다.</w:t>
      </w:r>
    </w:p>
    <w:p w14:paraId="6DD92FE1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400EC792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4.3 알루미늄재</w:t>
      </w:r>
    </w:p>
    <w:p w14:paraId="120AF732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(1) </w:t>
      </w:r>
      <w:proofErr w:type="spellStart"/>
      <w:r>
        <w:rPr>
          <w:rFonts w:ascii="맑은 고딕" w:eastAsia="맑은 고딕" w:hAnsi="맑은 고딕"/>
          <w:bCs/>
          <w:szCs w:val="20"/>
        </w:rPr>
        <w:t>도장전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하도 피막 도장을 철저히 한다.</w:t>
      </w:r>
    </w:p>
    <w:p w14:paraId="49B9F3C2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lastRenderedPageBreak/>
        <w:t xml:space="preserve">  (2) 원료는 </w:t>
      </w:r>
      <w:proofErr w:type="spellStart"/>
      <w:r>
        <w:rPr>
          <w:rFonts w:ascii="맑은 고딕" w:eastAsia="맑은 고딕" w:hAnsi="맑은 고딕"/>
          <w:bCs/>
          <w:szCs w:val="20"/>
        </w:rPr>
        <w:t>폴리에스터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고분자 수지에 해당하는 분말을 사용한다.</w:t>
      </w:r>
    </w:p>
    <w:p w14:paraId="7DC934F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(3) 정전 </w:t>
      </w:r>
      <w:proofErr w:type="spellStart"/>
      <w:r>
        <w:rPr>
          <w:rFonts w:ascii="맑은 고딕" w:eastAsia="맑은 고딕" w:hAnsi="맑은 고딕"/>
          <w:bCs/>
          <w:szCs w:val="20"/>
        </w:rPr>
        <w:t>분체코팅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방법은 정전 자동 방식을 사용한다.</w:t>
      </w:r>
    </w:p>
    <w:p w14:paraId="2B01B941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(5) 지정 </w:t>
      </w:r>
      <w:proofErr w:type="spellStart"/>
      <w:r>
        <w:rPr>
          <w:rFonts w:ascii="맑은 고딕" w:eastAsia="맑은 고딕" w:hAnsi="맑은 고딕"/>
          <w:bCs/>
          <w:szCs w:val="20"/>
        </w:rPr>
        <w:t>분체도장후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열처리한다.</w:t>
      </w:r>
    </w:p>
    <w:p w14:paraId="7C2CBE10" w14:textId="77777777" w:rsidR="006E12AB" w:rsidRDefault="006E12AB">
      <w:pPr>
        <w:pStyle w:val="a3"/>
        <w:wordWrap/>
        <w:snapToGrid/>
        <w:jc w:val="left"/>
        <w:rPr>
          <w:rFonts w:ascii="맑은 고딕" w:eastAsia="맑은 고딕" w:hAnsi="맑은 고딕"/>
          <w:b/>
          <w:szCs w:val="20"/>
        </w:rPr>
      </w:pPr>
    </w:p>
    <w:p w14:paraId="5B8468A4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>5. 검사 및 시험</w:t>
      </w:r>
    </w:p>
    <w:p w14:paraId="01AF4D19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5.1 검사</w:t>
      </w:r>
    </w:p>
    <w:p w14:paraId="3D2D72AD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사용부재의 두께, 길이, 볼트구멍 등 완성품의 규격이 도면 및 시방서의           </w:t>
      </w:r>
    </w:p>
    <w:p w14:paraId="13953257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내용과 </w:t>
      </w:r>
      <w:proofErr w:type="spellStart"/>
      <w:r>
        <w:rPr>
          <w:rFonts w:ascii="맑은 고딕" w:eastAsia="맑은 고딕" w:hAnsi="맑은 고딕"/>
          <w:bCs/>
          <w:szCs w:val="20"/>
        </w:rPr>
        <w:t>같은지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확인한다.</w:t>
      </w:r>
    </w:p>
    <w:p w14:paraId="5DB8F5C4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(2) 사용부재의 규격, 부재간 연결방법, </w:t>
      </w:r>
      <w:proofErr w:type="spellStart"/>
      <w:r>
        <w:rPr>
          <w:rFonts w:ascii="맑은 고딕" w:eastAsia="맑은 고딕" w:hAnsi="맑은 고딕"/>
          <w:bCs/>
          <w:szCs w:val="20"/>
        </w:rPr>
        <w:t>용접면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및 용접상태, 접속부의                </w:t>
      </w:r>
    </w:p>
    <w:p w14:paraId="1BB948F5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마감상태, 접속부분의 상태 등 완성품의 구조에 대한 검사를 실시한다.</w:t>
      </w:r>
    </w:p>
    <w:p w14:paraId="2E308FEF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(3) 완성품의 표면상태 및 외형 등의 이상이 없는지 확인한다.</w:t>
      </w:r>
    </w:p>
    <w:p w14:paraId="180E8EC1" w14:textId="77777777" w:rsidR="006E12AB" w:rsidRDefault="006E12AB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szCs w:val="20"/>
        </w:rPr>
      </w:pPr>
    </w:p>
    <w:p w14:paraId="01874E2B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szCs w:val="20"/>
        </w:rPr>
      </w:pPr>
      <w:r>
        <w:rPr>
          <w:rFonts w:ascii="맑은 고딕" w:eastAsia="맑은 고딕" w:hAnsi="맑은 고딕"/>
          <w:b/>
          <w:szCs w:val="20"/>
        </w:rPr>
        <w:t xml:space="preserve"> 5.2 시험</w:t>
      </w:r>
    </w:p>
    <w:p w14:paraId="3ECE891C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(1) 목재의 </w:t>
      </w:r>
      <w:proofErr w:type="spellStart"/>
      <w:r>
        <w:rPr>
          <w:rFonts w:ascii="맑은 고딕" w:eastAsia="맑은 고딕" w:hAnsi="맑은 고딕"/>
          <w:bCs/>
          <w:szCs w:val="20"/>
        </w:rPr>
        <w:t>함수율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- </w:t>
      </w:r>
      <w:proofErr w:type="spellStart"/>
      <w:r>
        <w:rPr>
          <w:rFonts w:ascii="맑은 고딕" w:eastAsia="맑은 고딕" w:hAnsi="맑은 고딕"/>
          <w:bCs/>
          <w:szCs w:val="20"/>
        </w:rPr>
        <w:t>함수율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측정은 KS-F-2199(목재의 </w:t>
      </w:r>
      <w:proofErr w:type="spellStart"/>
      <w:r>
        <w:rPr>
          <w:rFonts w:ascii="맑은 고딕" w:eastAsia="맑은 고딕" w:hAnsi="맑은 고딕"/>
          <w:bCs/>
          <w:szCs w:val="20"/>
        </w:rPr>
        <w:t>함수율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측정 방법)에                            </w:t>
      </w:r>
    </w:p>
    <w:p w14:paraId="146EC793" w14:textId="77777777" w:rsidR="006E12AB" w:rsidRDefault="00554AF4">
      <w:pPr>
        <w:pStyle w:val="a3"/>
        <w:wordWrap/>
        <w:snapToGrid/>
        <w:ind w:firstLineChars="600" w:firstLine="12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규정하는 방법에 따른다. 또한, 전기전 측정방법에 따라도 좋다.</w:t>
      </w:r>
    </w:p>
    <w:p w14:paraId="78EB0D85" w14:textId="77777777" w:rsidR="006E12AB" w:rsidRDefault="00554AF4">
      <w:pPr>
        <w:pStyle w:val="a3"/>
        <w:wordWrap/>
        <w:snapToGrid/>
        <w:ind w:firstLine="24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(2) 표면처리 - </w:t>
      </w:r>
      <w:proofErr w:type="spellStart"/>
      <w:r>
        <w:rPr>
          <w:rFonts w:ascii="맑은 고딕" w:eastAsia="맑은 고딕" w:hAnsi="맑은 고딕"/>
          <w:bCs/>
          <w:szCs w:val="20"/>
        </w:rPr>
        <w:t>금속부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도막 </w:t>
      </w:r>
      <w:proofErr w:type="spellStart"/>
      <w:r>
        <w:rPr>
          <w:rFonts w:ascii="맑은 고딕" w:eastAsia="맑은 고딕" w:hAnsi="맑은 고딕"/>
          <w:bCs/>
          <w:szCs w:val="20"/>
        </w:rPr>
        <w:t>밀착성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시험은 시험편에 예리한 칼로 칼날이 금속                    </w:t>
      </w:r>
    </w:p>
    <w:p w14:paraId="6C728D37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바탕에 닿도록 1mm간격으로 서로 직교하도록 괘선을 11줄씩 긋고                   </w:t>
      </w:r>
    </w:p>
    <w:p w14:paraId="01A07863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1x1mm의 칸을 100개 만든다. </w:t>
      </w:r>
      <w:proofErr w:type="spellStart"/>
      <w:r>
        <w:rPr>
          <w:rFonts w:ascii="맑은 고딕" w:eastAsia="맑은 고딕" w:hAnsi="맑은 고딕"/>
          <w:bCs/>
          <w:szCs w:val="20"/>
        </w:rPr>
        <w:t>그위에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KS-A-1528(셀로판 점착                       </w:t>
      </w:r>
    </w:p>
    <w:p w14:paraId="043715C1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테이프)에 규정하는 점착테이프를 붙인 후 즉시 떼어내어 도막이                   </w:t>
      </w:r>
    </w:p>
    <w:p w14:paraId="504A51E6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>벗겨지는지 유무를 조사한다.</w:t>
      </w:r>
    </w:p>
    <w:p w14:paraId="4E34C026" w14:textId="77777777" w:rsidR="006E12AB" w:rsidRDefault="00554AF4">
      <w:pPr>
        <w:pStyle w:val="a3"/>
        <w:wordWrap/>
        <w:snapToGrid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      - </w:t>
      </w:r>
      <w:proofErr w:type="spellStart"/>
      <w:r>
        <w:rPr>
          <w:rFonts w:ascii="맑은 고딕" w:eastAsia="맑은 고딕" w:hAnsi="맑은 고딕"/>
          <w:bCs/>
          <w:szCs w:val="20"/>
        </w:rPr>
        <w:t>목재부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도막밀착성 시험은 시험편에 예리한 칼날을 약 30°로                     </w:t>
      </w:r>
    </w:p>
    <w:p w14:paraId="58BC595B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기울여 목질바탕을 닿도록 2mm간격으로 서로 직교하는 선을                       </w:t>
      </w:r>
    </w:p>
    <w:p w14:paraId="4CBCD2F2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11줄씩 긋고 2x2mm의 칸을 100개 만든다. </w:t>
      </w:r>
      <w:proofErr w:type="spellStart"/>
      <w:r>
        <w:rPr>
          <w:rFonts w:ascii="맑은 고딕" w:eastAsia="맑은 고딕" w:hAnsi="맑은 고딕"/>
          <w:bCs/>
          <w:szCs w:val="20"/>
        </w:rPr>
        <w:t>그위에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                                </w:t>
      </w:r>
    </w:p>
    <w:p w14:paraId="02F5746C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  <w:szCs w:val="20"/>
        </w:rPr>
      </w:pPr>
      <w:r>
        <w:rPr>
          <w:rFonts w:ascii="맑은 고딕" w:eastAsia="맑은 고딕" w:hAnsi="맑은 고딕"/>
          <w:bCs/>
          <w:szCs w:val="20"/>
        </w:rPr>
        <w:t xml:space="preserve">KS-A-1528(셀로판 점착 테이프)에 규정하는 점착테이프를 </w:t>
      </w:r>
      <w:proofErr w:type="spellStart"/>
      <w:r>
        <w:rPr>
          <w:rFonts w:ascii="맑은 고딕" w:eastAsia="맑은 고딕" w:hAnsi="맑은 고딕"/>
          <w:bCs/>
          <w:szCs w:val="20"/>
        </w:rPr>
        <w:t>붙인후</w:t>
      </w:r>
      <w:proofErr w:type="spellEnd"/>
      <w:r>
        <w:rPr>
          <w:rFonts w:ascii="맑은 고딕" w:eastAsia="맑은 고딕" w:hAnsi="맑은 고딕"/>
          <w:bCs/>
          <w:szCs w:val="20"/>
        </w:rPr>
        <w:t xml:space="preserve">                   </w:t>
      </w:r>
    </w:p>
    <w:p w14:paraId="1D7FF2EE" w14:textId="77777777" w:rsidR="006E12AB" w:rsidRDefault="00554AF4">
      <w:pPr>
        <w:pStyle w:val="a3"/>
        <w:wordWrap/>
        <w:snapToGrid/>
        <w:ind w:firstLineChars="300" w:firstLine="600"/>
        <w:jc w:val="left"/>
        <w:rPr>
          <w:rFonts w:ascii="맑은 고딕" w:eastAsia="맑은 고딕" w:hAnsi="맑은 고딕"/>
          <w:bCs/>
        </w:rPr>
      </w:pPr>
      <w:r>
        <w:rPr>
          <w:rFonts w:ascii="맑은 고딕" w:eastAsia="맑은 고딕" w:hAnsi="맑은 고딕"/>
          <w:bCs/>
          <w:szCs w:val="20"/>
        </w:rPr>
        <w:t>바로 떼어서 도막의 벗겨짐 유무를 조사한다.</w:t>
      </w:r>
    </w:p>
    <w:sectPr w:rsidR="006E12AB">
      <w:endnotePr>
        <w:numFmt w:val="decimal"/>
      </w:endnotePr>
      <w:pgSz w:w="11906" w:h="16838"/>
      <w:pgMar w:top="850" w:right="1701" w:bottom="850" w:left="1701" w:header="85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401AD" w14:textId="77777777" w:rsidR="00554AF4" w:rsidRDefault="00554AF4" w:rsidP="00554AF4">
      <w:pPr>
        <w:spacing w:after="0"/>
      </w:pPr>
      <w:r>
        <w:separator/>
      </w:r>
    </w:p>
  </w:endnote>
  <w:endnote w:type="continuationSeparator" w:id="0">
    <w:p w14:paraId="5D0897CC" w14:textId="77777777" w:rsidR="00554AF4" w:rsidRDefault="00554AF4" w:rsidP="00554A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E64D" w14:textId="77777777" w:rsidR="00554AF4" w:rsidRDefault="00554AF4" w:rsidP="00554AF4">
      <w:pPr>
        <w:spacing w:after="0"/>
      </w:pPr>
      <w:r>
        <w:separator/>
      </w:r>
    </w:p>
  </w:footnote>
  <w:footnote w:type="continuationSeparator" w:id="0">
    <w:p w14:paraId="1CD1AD87" w14:textId="77777777" w:rsidR="00554AF4" w:rsidRDefault="00554AF4" w:rsidP="00554AF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12AB"/>
    <w:rsid w:val="00537DEE"/>
    <w:rsid w:val="00554AF4"/>
    <w:rsid w:val="006E12AB"/>
    <w:rsid w:val="00A3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FD38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header"/>
    <w:basedOn w:val="a"/>
    <w:link w:val="Char"/>
    <w:uiPriority w:val="99"/>
    <w:unhideWhenUsed/>
    <w:rsid w:val="00554AF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54AF4"/>
  </w:style>
  <w:style w:type="paragraph" w:styleId="a5">
    <w:name w:val="footer"/>
    <w:basedOn w:val="a"/>
    <w:link w:val="Char0"/>
    <w:uiPriority w:val="99"/>
    <w:unhideWhenUsed/>
    <w:rsid w:val="00554AF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54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  <a:ln w="2540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969</Words>
  <Characters>3237</Characters>
  <Application>Microsoft Office Word</Application>
  <DocSecurity>0</DocSecurity>
  <Lines>161</Lines>
  <Paragraphs>145</Paragraphs>
  <ScaleCrop>false</ScaleCrop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2011-05-17T01:27:00Z</dcterms:created>
  <dcterms:modified xsi:type="dcterms:W3CDTF">2025-10-16T06:21:00Z</dcterms:modified>
  <cp:version>0900.0100.01</cp:version>
</cp:coreProperties>
</file>