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운동시설물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시방서는 조경시설 및 외부 휴계공간에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1.2 적용기준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2.2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폴리카보네이트 시트는 보호필름으로 보양된 상태로 현장에 반입되어야            하며, 가공 및 시공과정에서 부득이한 경우가 아니면 보호필름을 제거하거나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훼손하면 안된다.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폴리카보네이트 시트는 직사광선에 직접 노출되지 않고 비가 새지 않으며          통풍이 잘되는 실내에 보관하고, 주위의 온도가 40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℃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이상 상승치 않도록         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2.3 알루미늄재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2.6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 xml:space="preserve"> 3.2 볼트접합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설게도면과 동일하게 시동되도록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 4.1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>4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5.2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(1) 표면처리 - 금속부 도막 밀착성 시험은 시험편에 예리한 칼로 칼날이 금속                   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바탕에 닿도록 1mm간격으로 서로 직교하도록 괘선을 11줄씩 긋고 1x1mm의 칸을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100개 만든다. 그위에 KS-A-1528(셀로판 점착테이프)에 규정하는 점착테이프를 붙인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후 즉시 떼어내어 도막이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벗겨지는지 유무를 조사한다.</w:t>
      </w:r>
    </w:p>
    <w:p>
      <w:pPr>
        <w:pStyle w:val="a3"/>
        <w:ind w:left="881" w:hangingChars="400" w:hanging="881"/>
        <w:wordWrap/>
        <w:snapToGrid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 - 목재부 도막밀착성 시험은 시험편에 예리한 칼날을 약 30°로                기울여 목질바탕을 닿도록 2mm간격으로 서로 직교하는 선을</w:t>
      </w:r>
      <w:r>
        <w:rPr>
          <w:rFonts w:ascii="맑은 고딕" w:eastAsia="맑은 고딕" w:hAnsi="맑은 고딕" w:hint="eastAsia"/>
          <w:b w:val="0"/>
          <w:bCs w:val="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11줄씩 긋고 2x2mm의 칸을 100개 만든다. 그위에 KS-A-1528(셀로판 점착 테이프)에 규정하는 점착테이프를</w:t>
      </w:r>
      <w:r>
        <w:rPr>
          <w:rFonts w:ascii="맑은 고딕" w:eastAsia="맑은 고딕" w:hAnsi="맑은 고딕" w:hint="eastAsia"/>
          <w:b w:val="0"/>
          <w:bCs w:val="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붙인후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2025-10-16T04:09:21Z</dcterms:modified>
  <cp:version>0900.0100.01</cp:version>
</cp:coreProperties>
</file>