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9239" w14:textId="77777777" w:rsidR="007A1DD9" w:rsidRDefault="007A1DD9">
      <w:pPr>
        <w:pStyle w:val="a3"/>
        <w:wordWrap/>
        <w:snapToGrid/>
        <w:jc w:val="center"/>
        <w:rPr>
          <w:rFonts w:ascii="맑은 고딕" w:eastAsia="맑은 고딕" w:hAnsi="맑은 고딕"/>
        </w:rPr>
      </w:pPr>
      <w:bookmarkStart w:id="0" w:name="_top"/>
      <w:bookmarkEnd w:id="0"/>
    </w:p>
    <w:p w14:paraId="5C0876C9" w14:textId="77777777" w:rsidR="007A1DD9" w:rsidRDefault="007A1DD9">
      <w:pPr>
        <w:pStyle w:val="a3"/>
        <w:wordWrap/>
        <w:snapToGrid/>
        <w:jc w:val="center"/>
        <w:rPr>
          <w:rFonts w:ascii="맑은 고딕" w:eastAsia="맑은 고딕" w:hAnsi="맑은 고딕"/>
          <w:b/>
          <w:sz w:val="60"/>
        </w:rPr>
      </w:pPr>
    </w:p>
    <w:p w14:paraId="4BC1F44E" w14:textId="77777777" w:rsidR="007A1DD9" w:rsidRDefault="006F021D">
      <w:pPr>
        <w:pStyle w:val="a3"/>
        <w:wordWrap/>
        <w:snapToGrid/>
        <w:jc w:val="center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b/>
          <w:sz w:val="90"/>
        </w:rPr>
        <w:t>특</w:t>
      </w:r>
      <w:r>
        <w:rPr>
          <w:rFonts w:ascii="맑은 고딕" w:eastAsia="맑은 고딕" w:hAnsi="맑은 고딕"/>
          <w:b/>
          <w:sz w:val="90"/>
        </w:rPr>
        <w:t xml:space="preserve"> </w:t>
      </w:r>
      <w:r>
        <w:rPr>
          <w:rFonts w:ascii="맑은 고딕" w:eastAsia="맑은 고딕" w:hAnsi="맑은 고딕"/>
          <w:b/>
          <w:sz w:val="90"/>
        </w:rPr>
        <w:t>기</w:t>
      </w:r>
      <w:r>
        <w:rPr>
          <w:rFonts w:ascii="맑은 고딕" w:eastAsia="맑은 고딕" w:hAnsi="맑은 고딕"/>
          <w:b/>
          <w:sz w:val="90"/>
        </w:rPr>
        <w:t xml:space="preserve"> </w:t>
      </w:r>
      <w:r>
        <w:rPr>
          <w:rFonts w:ascii="맑은 고딕" w:eastAsia="맑은 고딕" w:hAnsi="맑은 고딕"/>
          <w:b/>
          <w:sz w:val="90"/>
        </w:rPr>
        <w:t>시</w:t>
      </w:r>
      <w:r>
        <w:rPr>
          <w:rFonts w:ascii="맑은 고딕" w:eastAsia="맑은 고딕" w:hAnsi="맑은 고딕"/>
          <w:b/>
          <w:sz w:val="90"/>
        </w:rPr>
        <w:t xml:space="preserve"> </w:t>
      </w:r>
      <w:r>
        <w:rPr>
          <w:rFonts w:ascii="맑은 고딕" w:eastAsia="맑은 고딕" w:hAnsi="맑은 고딕"/>
          <w:b/>
          <w:sz w:val="90"/>
        </w:rPr>
        <w:t>방</w:t>
      </w:r>
      <w:r>
        <w:rPr>
          <w:rFonts w:ascii="맑은 고딕" w:eastAsia="맑은 고딕" w:hAnsi="맑은 고딕"/>
          <w:b/>
          <w:sz w:val="90"/>
        </w:rPr>
        <w:t xml:space="preserve"> </w:t>
      </w:r>
      <w:r>
        <w:rPr>
          <w:rFonts w:ascii="맑은 고딕" w:eastAsia="맑은 고딕" w:hAnsi="맑은 고딕"/>
          <w:b/>
          <w:sz w:val="90"/>
        </w:rPr>
        <w:t>서</w:t>
      </w:r>
    </w:p>
    <w:p w14:paraId="6AC634C4" w14:textId="77777777" w:rsidR="007A1DD9" w:rsidRDefault="007A1DD9">
      <w:pPr>
        <w:pStyle w:val="a3"/>
        <w:wordWrap/>
        <w:snapToGrid/>
        <w:jc w:val="center"/>
        <w:rPr>
          <w:rFonts w:ascii="맑은 고딕" w:eastAsia="맑은 고딕" w:hAnsi="맑은 고딕"/>
          <w:b/>
          <w:sz w:val="68"/>
        </w:rPr>
      </w:pPr>
    </w:p>
    <w:p w14:paraId="50E33AA3" w14:textId="6FA26CB2" w:rsidR="007A1DD9" w:rsidRDefault="007A1DD9">
      <w:pPr>
        <w:pStyle w:val="a3"/>
        <w:wordWrap/>
        <w:snapToGrid/>
        <w:jc w:val="center"/>
        <w:rPr>
          <w:rFonts w:ascii="맑은 고딕" w:eastAsia="맑은 고딕" w:hAnsi="맑은 고딕"/>
          <w:b/>
          <w:sz w:val="68"/>
        </w:rPr>
      </w:pPr>
    </w:p>
    <w:p w14:paraId="384D6DBC" w14:textId="6B491DAD" w:rsidR="007A1DD9" w:rsidRDefault="006F021D">
      <w:pPr>
        <w:pStyle w:val="a3"/>
        <w:wordWrap/>
        <w:snapToGrid/>
        <w:jc w:val="right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b/>
          <w:sz w:val="36"/>
        </w:rPr>
        <w:t xml:space="preserve"> </w:t>
      </w:r>
      <w:r>
        <w:rPr>
          <w:rFonts w:ascii="맑은 고딕" w:eastAsia="맑은 고딕" w:hAnsi="맑은 고딕"/>
          <w:b/>
          <w:sz w:val="36"/>
        </w:rPr>
        <w:t>다온피앤디</w:t>
      </w:r>
    </w:p>
    <w:p w14:paraId="0D779C11" w14:textId="22E89193" w:rsidR="007A1DD9" w:rsidRDefault="006F021D">
      <w:pPr>
        <w:pStyle w:val="a3"/>
        <w:wordWrap/>
        <w:snapToGrid/>
        <w:jc w:val="right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w:drawing>
          <wp:anchor distT="0" distB="0" distL="0" distR="0" simplePos="0" relativeHeight="251658240" behindDoc="0" locked="0" layoutInCell="1" hidden="0" allowOverlap="1" wp14:anchorId="4B1C1BBF" wp14:editId="7D9CD873">
            <wp:simplePos x="0" y="0"/>
            <wp:positionH relativeFrom="column">
              <wp:posOffset>1509395</wp:posOffset>
            </wp:positionH>
            <wp:positionV relativeFrom="paragraph">
              <wp:posOffset>828040</wp:posOffset>
            </wp:positionV>
            <wp:extent cx="3078480" cy="1143000"/>
            <wp:effectExtent l="0" t="0" r="0" b="0"/>
            <wp:wrapTopAndBottom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맑은 고딕" w:eastAsia="맑은 고딕" w:hAnsi="맑은 고딕"/>
          <w:b/>
          <w:sz w:val="36"/>
        </w:rPr>
        <w:t>조경시설물</w:t>
      </w:r>
      <w:r>
        <w:rPr>
          <w:rFonts w:ascii="맑은 고딕" w:eastAsia="맑은 고딕" w:hAnsi="맑은 고딕"/>
          <w:b/>
          <w:sz w:val="36"/>
        </w:rPr>
        <w:t xml:space="preserve"> :</w:t>
      </w:r>
      <w:proofErr w:type="gramEnd"/>
      <w:r>
        <w:rPr>
          <w:rFonts w:ascii="맑은 고딕" w:eastAsia="맑은 고딕" w:hAnsi="맑은 고딕"/>
          <w:b/>
          <w:sz w:val="36"/>
        </w:rPr>
        <w:t xml:space="preserve"> </w:t>
      </w:r>
      <w:proofErr w:type="spellStart"/>
      <w:r>
        <w:rPr>
          <w:rFonts w:ascii="맑은 고딕" w:eastAsia="맑은 고딕" w:hAnsi="맑은 고딕"/>
          <w:b/>
          <w:sz w:val="36"/>
        </w:rPr>
        <w:t>휀스</w:t>
      </w:r>
      <w:proofErr w:type="spellEnd"/>
    </w:p>
    <w:p w14:paraId="40AAF8B0" w14:textId="10C64F9A" w:rsidR="007A1DD9" w:rsidRDefault="007A1DD9"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 w14:paraId="7A1360D5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1. </w:t>
      </w:r>
      <w:r>
        <w:rPr>
          <w:rFonts w:ascii="맑은 고딕" w:eastAsia="맑은 고딕" w:hAnsi="맑은 고딕"/>
          <w:b/>
          <w:szCs w:val="20"/>
        </w:rPr>
        <w:t>일반사항</w:t>
      </w:r>
    </w:p>
    <w:p w14:paraId="5476D6F8" w14:textId="783E715A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1.1 </w:t>
      </w:r>
      <w:r>
        <w:rPr>
          <w:rFonts w:ascii="맑은 고딕" w:eastAsia="맑은 고딕" w:hAnsi="맑은 고딕"/>
          <w:b/>
          <w:szCs w:val="20"/>
        </w:rPr>
        <w:t>적용범위</w:t>
      </w:r>
    </w:p>
    <w:p w14:paraId="6E21D137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 </w:t>
      </w:r>
      <w:r>
        <w:rPr>
          <w:rFonts w:ascii="맑은 고딕" w:eastAsia="맑은 고딕" w:hAnsi="맑은 고딕"/>
          <w:szCs w:val="20"/>
        </w:rPr>
        <w:t xml:space="preserve">(1) </w:t>
      </w:r>
      <w:r>
        <w:rPr>
          <w:rFonts w:ascii="맑은 고딕" w:eastAsia="맑은 고딕" w:hAnsi="맑은 고딕"/>
          <w:szCs w:val="20"/>
        </w:rPr>
        <w:t>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시방서는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조경시설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외부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휴계공간에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시설물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준한다</w:t>
      </w:r>
      <w:r>
        <w:rPr>
          <w:rFonts w:ascii="맑은 고딕" w:eastAsia="맑은 고딕" w:hAnsi="맑은 고딕"/>
          <w:szCs w:val="20"/>
        </w:rPr>
        <w:t>.</w:t>
      </w:r>
    </w:p>
    <w:p w14:paraId="2264251E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 xml:space="preserve">1.2 </w:t>
      </w:r>
      <w:r>
        <w:rPr>
          <w:rFonts w:ascii="맑은 고딕" w:eastAsia="맑은 고딕" w:hAnsi="맑은 고딕"/>
          <w:b/>
          <w:szCs w:val="20"/>
        </w:rPr>
        <w:t>적용기준</w:t>
      </w:r>
    </w:p>
    <w:p w14:paraId="76F0A65E" w14:textId="77777777" w:rsidR="007A1DD9" w:rsidRDefault="006F021D">
      <w:pPr>
        <w:pStyle w:val="a3"/>
        <w:wordWrap/>
        <w:snapToGrid/>
        <w:ind w:left="400" w:hangingChars="200" w:hanging="4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시방서의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제품은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시방서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설계도면의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명기되지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않은</w:t>
      </w:r>
      <w:r>
        <w:rPr>
          <w:rFonts w:ascii="맑은 고딕" w:eastAsia="맑은 고딕" w:hAnsi="맑은 고딕"/>
          <w:szCs w:val="20"/>
        </w:rPr>
        <w:t xml:space="preserve">         </w:t>
      </w:r>
      <w:r>
        <w:rPr>
          <w:rFonts w:ascii="맑은 고딕" w:eastAsia="맑은 고딕" w:hAnsi="맑은 고딕"/>
          <w:szCs w:val="20"/>
        </w:rPr>
        <w:t>사항은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한국공업규격</w:t>
      </w:r>
      <w:r>
        <w:rPr>
          <w:rFonts w:ascii="맑은 고딕" w:eastAsia="맑은 고딕" w:hAnsi="맑은 고딕"/>
          <w:szCs w:val="20"/>
        </w:rPr>
        <w:t>(k.s)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적합하게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사항은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발주처와</w:t>
      </w:r>
    </w:p>
    <w:p w14:paraId="092B6661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</w:t>
      </w:r>
      <w:r>
        <w:rPr>
          <w:rFonts w:ascii="맑은 고딕" w:eastAsia="맑은 고딕" w:hAnsi="맑은 고딕"/>
          <w:szCs w:val="20"/>
        </w:rPr>
        <w:t>협의하여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제작한다</w:t>
      </w:r>
      <w:r>
        <w:rPr>
          <w:rFonts w:ascii="맑은 고딕" w:eastAsia="맑은 고딕" w:hAnsi="맑은 고딕"/>
          <w:szCs w:val="20"/>
        </w:rPr>
        <w:t>.</w:t>
      </w:r>
    </w:p>
    <w:p w14:paraId="61033F06" w14:textId="77777777" w:rsidR="007A1DD9" w:rsidRDefault="007A1DD9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5495B454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2. </w:t>
      </w:r>
      <w:r>
        <w:rPr>
          <w:rFonts w:ascii="맑은 고딕" w:eastAsia="맑은 고딕" w:hAnsi="맑은 고딕"/>
          <w:b/>
          <w:szCs w:val="20"/>
        </w:rPr>
        <w:t>재질</w:t>
      </w:r>
    </w:p>
    <w:p w14:paraId="0E33CA9E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2.1 </w:t>
      </w:r>
      <w:r>
        <w:rPr>
          <w:rFonts w:ascii="맑은 고딕" w:eastAsia="맑은 고딕" w:hAnsi="맑은 고딕"/>
          <w:b/>
          <w:szCs w:val="20"/>
        </w:rPr>
        <w:t>목재</w:t>
      </w:r>
    </w:p>
    <w:p w14:paraId="73F0C98A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수종은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천연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계열의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남양재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/>
          <w:szCs w:val="20"/>
        </w:rPr>
        <w:t>하드우드</w:t>
      </w:r>
      <w:r>
        <w:rPr>
          <w:rFonts w:ascii="맑은 고딕" w:eastAsia="맑은 고딕" w:hAnsi="맑은 고딕"/>
          <w:szCs w:val="20"/>
        </w:rPr>
        <w:t>)</w:t>
      </w:r>
      <w:r>
        <w:rPr>
          <w:rFonts w:ascii="맑은 고딕" w:eastAsia="맑은 고딕" w:hAnsi="맑은 고딕"/>
          <w:szCs w:val="20"/>
        </w:rPr>
        <w:t>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7770B189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흙막이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친환경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방부목재를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3957BF18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목재는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갈라짐이나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뒤틀림이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없어야하며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무절품을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64ACBF7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</w:t>
      </w:r>
      <w:r>
        <w:rPr>
          <w:rFonts w:ascii="맑은 고딕" w:eastAsia="맑은 고딕" w:hAnsi="맑은 고딕"/>
          <w:szCs w:val="20"/>
        </w:rPr>
        <w:t>조경재의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품질은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표면마감에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좌우되므로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자연건조</w:t>
      </w:r>
      <w:r>
        <w:rPr>
          <w:rFonts w:ascii="맑은 고딕" w:eastAsia="맑은 고딕" w:hAnsi="맑은 고딕"/>
          <w:szCs w:val="20"/>
        </w:rPr>
        <w:t xml:space="preserve"> 90</w:t>
      </w:r>
      <w:r>
        <w:rPr>
          <w:rFonts w:ascii="맑은 고딕" w:eastAsia="맑은 고딕" w:hAnsi="맑은 고딕"/>
          <w:szCs w:val="20"/>
        </w:rPr>
        <w:t>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</w:t>
      </w:r>
      <w:r>
        <w:rPr>
          <w:rFonts w:ascii="맑은 고딕" w:eastAsia="맑은 고딕" w:hAnsi="맑은 고딕"/>
          <w:szCs w:val="20"/>
        </w:rPr>
        <w:t xml:space="preserve">,         </w:t>
      </w:r>
      <w:r>
        <w:rPr>
          <w:rFonts w:ascii="맑은 고딕" w:eastAsia="맑은 고딕" w:hAnsi="맑은 고딕"/>
          <w:szCs w:val="20"/>
        </w:rPr>
        <w:t>증기건조</w:t>
      </w:r>
      <w:r>
        <w:rPr>
          <w:rFonts w:ascii="맑은 고딕" w:eastAsia="맑은 고딕" w:hAnsi="맑은 고딕"/>
          <w:szCs w:val="20"/>
        </w:rPr>
        <w:t xml:space="preserve"> 20</w:t>
      </w:r>
      <w:r>
        <w:rPr>
          <w:rFonts w:ascii="맑은 고딕" w:eastAsia="맑은 고딕" w:hAnsi="맑은 고딕"/>
          <w:szCs w:val="20"/>
        </w:rPr>
        <w:t>일후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대패가공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이때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함수율</w:t>
      </w:r>
      <w:r>
        <w:rPr>
          <w:rFonts w:ascii="맑은 고딕" w:eastAsia="맑은 고딕" w:hAnsi="맑은 고딕"/>
          <w:szCs w:val="20"/>
        </w:rPr>
        <w:t xml:space="preserve"> 25% </w:t>
      </w:r>
      <w:r>
        <w:rPr>
          <w:rFonts w:ascii="맑은 고딕" w:eastAsia="맑은 고딕" w:hAnsi="맑은 고딕"/>
          <w:szCs w:val="20"/>
        </w:rPr>
        <w:t>이하로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하여야한다</w:t>
      </w:r>
    </w:p>
    <w:p w14:paraId="2E7FB12D" w14:textId="77777777" w:rsidR="007A1DD9" w:rsidRDefault="006F021D">
      <w:pPr>
        <w:pStyle w:val="a3"/>
        <w:wordWrap/>
        <w:snapToGrid/>
        <w:ind w:leftChars="100" w:left="620" w:hangingChars="200" w:hanging="4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2.2 </w:t>
      </w:r>
      <w:r>
        <w:rPr>
          <w:rFonts w:ascii="맑은 고딕" w:eastAsia="맑은 고딕" w:hAnsi="맑은 고딕"/>
          <w:b/>
          <w:szCs w:val="20"/>
        </w:rPr>
        <w:t>철재</w:t>
      </w:r>
    </w:p>
    <w:p w14:paraId="73BCDB4B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철재는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갈라짐이나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녹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비틀림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결점이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것이어야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>,</w:t>
      </w:r>
    </w:p>
    <w:p w14:paraId="2F35C52F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</w:t>
      </w:r>
      <w:r>
        <w:rPr>
          <w:rFonts w:ascii="맑은 고딕" w:eastAsia="맑은 고딕" w:hAnsi="맑은 고딕"/>
          <w:szCs w:val="20"/>
        </w:rPr>
        <w:t>한국산업규격</w:t>
      </w:r>
      <w:r>
        <w:rPr>
          <w:rFonts w:ascii="맑은 고딕" w:eastAsia="맑은 고딕" w:hAnsi="맑은 고딕"/>
          <w:szCs w:val="20"/>
        </w:rPr>
        <w:t>(KSD 3507)</w:t>
      </w:r>
      <w:r>
        <w:rPr>
          <w:rFonts w:ascii="맑은 고딕" w:eastAsia="맑은 고딕" w:hAnsi="맑은 고딕"/>
          <w:szCs w:val="20"/>
        </w:rPr>
        <w:t>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동등하거나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그이상의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3CDA5625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산화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부식의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방지를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필히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빈틈없이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녹막이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F279A84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2.3 </w:t>
      </w:r>
      <w:r>
        <w:rPr>
          <w:rFonts w:ascii="맑은 고딕" w:eastAsia="맑은 고딕" w:hAnsi="맑은 고딕"/>
          <w:b/>
          <w:szCs w:val="20"/>
        </w:rPr>
        <w:t>알루미늄재</w:t>
      </w:r>
    </w:p>
    <w:p w14:paraId="4D5F81F5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AL-EXTRUDED BAR</w:t>
      </w:r>
      <w:r>
        <w:rPr>
          <w:rFonts w:ascii="맑은 고딕" w:eastAsia="맑은 고딕" w:hAnsi="맑은 고딕"/>
          <w:szCs w:val="20"/>
        </w:rPr>
        <w:t>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지주재는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외장재와의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결합을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미적인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기능과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구조적</w:t>
      </w:r>
      <w:r>
        <w:rPr>
          <w:rFonts w:ascii="맑은 고딕" w:eastAsia="맑은 고딕" w:hAnsi="맑은 고딕"/>
          <w:szCs w:val="20"/>
        </w:rPr>
        <w:t xml:space="preserve">        </w:t>
      </w:r>
      <w:r>
        <w:rPr>
          <w:rFonts w:ascii="맑은 고딕" w:eastAsia="맑은 고딕" w:hAnsi="맑은 고딕"/>
          <w:szCs w:val="20"/>
        </w:rPr>
        <w:t>기능을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가지도록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제작한다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열처리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분체도장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마감한다</w:t>
      </w:r>
      <w:r>
        <w:rPr>
          <w:rFonts w:ascii="맑은 고딕" w:eastAsia="맑은 고딕" w:hAnsi="맑은 고딕"/>
          <w:szCs w:val="20"/>
        </w:rPr>
        <w:t>.</w:t>
      </w:r>
    </w:p>
    <w:p w14:paraId="64098332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 xml:space="preserve">  (2) AL-CASTING</w:t>
      </w:r>
      <w:r>
        <w:rPr>
          <w:rFonts w:ascii="맑은 고딕" w:eastAsia="맑은 고딕" w:hAnsi="맑은 고딕"/>
          <w:szCs w:val="20"/>
        </w:rPr>
        <w:t>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규격은</w:t>
      </w:r>
      <w:r>
        <w:rPr>
          <w:rFonts w:ascii="맑은 고딕" w:eastAsia="맑은 고딕" w:hAnsi="맑은 고딕"/>
          <w:szCs w:val="20"/>
        </w:rPr>
        <w:t xml:space="preserve"> KSD-2334 </w:t>
      </w:r>
      <w:r>
        <w:rPr>
          <w:rFonts w:ascii="맑은 고딕" w:eastAsia="맑은 고딕" w:hAnsi="맑은 고딕"/>
          <w:szCs w:val="20"/>
        </w:rPr>
        <w:t>이며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재질은</w:t>
      </w:r>
      <w:r>
        <w:rPr>
          <w:rFonts w:ascii="맑은 고딕" w:eastAsia="맑은 고딕" w:hAnsi="맑은 고딕"/>
          <w:szCs w:val="20"/>
        </w:rPr>
        <w:t xml:space="preserve"> AC-4A, AC-7A </w:t>
      </w:r>
      <w:r>
        <w:rPr>
          <w:rFonts w:ascii="맑은 고딕" w:eastAsia="맑은 고딕" w:hAnsi="맑은 고딕"/>
          <w:szCs w:val="20"/>
        </w:rPr>
        <w:t>생산품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이어야하나</w:t>
      </w:r>
    </w:p>
    <w:p w14:paraId="5BFB0448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</w:t>
      </w:r>
      <w:r>
        <w:rPr>
          <w:rFonts w:ascii="맑은 고딕" w:eastAsia="맑은 고딕" w:hAnsi="맑은 고딕"/>
          <w:szCs w:val="20"/>
        </w:rPr>
        <w:t>조경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건축자재는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일반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알루미늄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순도율이</w:t>
      </w:r>
      <w:r>
        <w:rPr>
          <w:rFonts w:ascii="맑은 고딕" w:eastAsia="맑은 고딕" w:hAnsi="맑은 고딕"/>
          <w:szCs w:val="20"/>
        </w:rPr>
        <w:t xml:space="preserve"> 88%</w:t>
      </w:r>
      <w:r>
        <w:rPr>
          <w:rFonts w:ascii="맑은 고딕" w:eastAsia="맑은 고딕" w:hAnsi="맑은 고딕"/>
          <w:szCs w:val="20"/>
        </w:rPr>
        <w:t>이상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가능하다</w:t>
      </w:r>
      <w:r>
        <w:rPr>
          <w:rFonts w:ascii="맑은 고딕" w:eastAsia="맑은 고딕" w:hAnsi="맑은 고딕"/>
          <w:szCs w:val="20"/>
        </w:rPr>
        <w:t>.</w:t>
      </w:r>
    </w:p>
    <w:p w14:paraId="47E0264E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</w:t>
      </w:r>
      <w:r>
        <w:rPr>
          <w:rFonts w:ascii="맑은 고딕" w:eastAsia="맑은 고딕" w:hAnsi="맑은 고딕"/>
          <w:szCs w:val="20"/>
        </w:rPr>
        <w:t>이또한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열처리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분체도장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마감한다</w:t>
      </w:r>
      <w:r>
        <w:rPr>
          <w:rFonts w:ascii="맑은 고딕" w:eastAsia="맑은 고딕" w:hAnsi="맑은 고딕"/>
          <w:szCs w:val="20"/>
        </w:rPr>
        <w:t>.</w:t>
      </w:r>
    </w:p>
    <w:p w14:paraId="7D2A6A9B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2.4 </w:t>
      </w:r>
      <w:r>
        <w:rPr>
          <w:rFonts w:ascii="맑은 고딕" w:eastAsia="맑은 고딕" w:hAnsi="맑은 고딕"/>
          <w:b/>
          <w:szCs w:val="20"/>
        </w:rPr>
        <w:t>기타재료</w:t>
      </w:r>
    </w:p>
    <w:p w14:paraId="5F48A834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조립볼트와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재료는</w:t>
      </w:r>
      <w:r>
        <w:rPr>
          <w:rFonts w:ascii="맑은 고딕" w:eastAsia="맑은 고딕" w:hAnsi="맑은 고딕"/>
          <w:szCs w:val="20"/>
        </w:rPr>
        <w:t xml:space="preserve"> KS </w:t>
      </w:r>
      <w:r>
        <w:rPr>
          <w:rFonts w:ascii="맑은 고딕" w:eastAsia="맑은 고딕" w:hAnsi="맑은 고딕"/>
          <w:szCs w:val="20"/>
        </w:rPr>
        <w:t>정품으로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설치한다</w:t>
      </w:r>
      <w:r>
        <w:rPr>
          <w:rFonts w:ascii="맑은 고딕" w:eastAsia="맑은 고딕" w:hAnsi="맑은 고딕"/>
          <w:szCs w:val="20"/>
        </w:rPr>
        <w:t>.</w:t>
      </w:r>
    </w:p>
    <w:p w14:paraId="0169C250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부재료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설계도면을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기준하며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현장에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상향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조정할수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있다</w:t>
      </w:r>
      <w:r>
        <w:rPr>
          <w:rFonts w:ascii="맑은 고딕" w:eastAsia="맑은 고딕" w:hAnsi="맑은 고딕"/>
          <w:szCs w:val="20"/>
        </w:rPr>
        <w:t>.</w:t>
      </w:r>
    </w:p>
    <w:p w14:paraId="51502E5C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목재와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금속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결속품은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기온에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수축현상이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있으므로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보완을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C0F5B37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</w:t>
      </w:r>
      <w:r>
        <w:rPr>
          <w:rFonts w:ascii="맑은 고딕" w:eastAsia="맑은 고딕" w:hAnsi="맑은 고딕"/>
          <w:szCs w:val="20"/>
        </w:rPr>
        <w:t>주ㆍ부재료의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컬러는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전체컬러와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동일하게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처리한다</w:t>
      </w:r>
      <w:r>
        <w:rPr>
          <w:rFonts w:ascii="맑은 고딕" w:eastAsia="맑은 고딕" w:hAnsi="맑은 고딕"/>
          <w:szCs w:val="20"/>
        </w:rPr>
        <w:t>.</w:t>
      </w:r>
    </w:p>
    <w:p w14:paraId="442AF91D" w14:textId="77777777" w:rsidR="007A1DD9" w:rsidRDefault="007A1DD9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3FA3A6DA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3. </w:t>
      </w:r>
      <w:r>
        <w:rPr>
          <w:rFonts w:ascii="맑은 고딕" w:eastAsia="맑은 고딕" w:hAnsi="맑은 고딕"/>
          <w:b/>
          <w:szCs w:val="20"/>
        </w:rPr>
        <w:t>접합</w:t>
      </w:r>
      <w:r>
        <w:rPr>
          <w:rFonts w:ascii="맑은 고딕" w:eastAsia="맑은 고딕" w:hAnsi="맑은 고딕"/>
          <w:b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>및</w:t>
      </w:r>
      <w:r>
        <w:rPr>
          <w:rFonts w:ascii="맑은 고딕" w:eastAsia="맑은 고딕" w:hAnsi="맑은 고딕"/>
          <w:b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>조립설치</w:t>
      </w:r>
    </w:p>
    <w:p w14:paraId="0444C075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3.1 </w:t>
      </w:r>
      <w:r>
        <w:rPr>
          <w:rFonts w:ascii="맑은 고딕" w:eastAsia="맑은 고딕" w:hAnsi="맑은 고딕"/>
          <w:b/>
          <w:szCs w:val="20"/>
        </w:rPr>
        <w:t>용접</w:t>
      </w:r>
    </w:p>
    <w:p w14:paraId="5C97F203" w14:textId="77777777" w:rsidR="007A1DD9" w:rsidRDefault="006F021D">
      <w:pPr>
        <w:pStyle w:val="a3"/>
        <w:wordWrap/>
        <w:snapToGrid/>
        <w:ind w:left="400" w:hangingChars="200" w:hanging="4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 </w:t>
      </w:r>
      <w:r>
        <w:rPr>
          <w:rFonts w:ascii="맑은 고딕" w:eastAsia="맑은 고딕" w:hAnsi="맑은 고딕"/>
          <w:szCs w:val="20"/>
        </w:rPr>
        <w:t xml:space="preserve">(1) </w:t>
      </w:r>
      <w:r>
        <w:rPr>
          <w:rFonts w:ascii="맑은 고딕" w:eastAsia="맑은 고딕" w:hAnsi="맑은 고딕"/>
          <w:szCs w:val="20"/>
        </w:rPr>
        <w:t>용접은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해당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시험이나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검정시험에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합격한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용접공에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의해</w:t>
      </w:r>
      <w:r>
        <w:rPr>
          <w:rFonts w:ascii="맑은 고딕" w:eastAsia="맑은 고딕" w:hAnsi="맑은 고딕"/>
          <w:szCs w:val="20"/>
        </w:rPr>
        <w:t xml:space="preserve">         </w:t>
      </w:r>
      <w:r>
        <w:rPr>
          <w:rFonts w:ascii="맑은 고딕" w:eastAsia="맑은 고딕" w:hAnsi="맑은 고딕"/>
          <w:szCs w:val="20"/>
        </w:rPr>
        <w:t>시행해야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  <w:r>
        <w:rPr>
          <w:rFonts w:ascii="맑은 고딕" w:eastAsia="맑은 고딕" w:hAnsi="맑은 고딕"/>
          <w:b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단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동등한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시험이나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전문지식과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경험을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충분히</w:t>
      </w:r>
      <w:r>
        <w:rPr>
          <w:rFonts w:ascii="맑은 고딕" w:eastAsia="맑은 고딕" w:hAnsi="맑은 고딕"/>
          <w:szCs w:val="20"/>
        </w:rPr>
        <w:t xml:space="preserve">         </w:t>
      </w:r>
      <w:r>
        <w:rPr>
          <w:rFonts w:ascii="맑은 고딕" w:eastAsia="맑은 고딕" w:hAnsi="맑은 고딕"/>
          <w:szCs w:val="20"/>
        </w:rPr>
        <w:t>갖추고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있다고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감독자가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인정하는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이규정을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따르지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않아도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된다</w:t>
      </w:r>
      <w:r>
        <w:rPr>
          <w:rFonts w:ascii="맑은 고딕" w:eastAsia="맑은 고딕" w:hAnsi="맑은 고딕"/>
          <w:szCs w:val="20"/>
        </w:rPr>
        <w:t>.</w:t>
      </w:r>
    </w:p>
    <w:p w14:paraId="4C2C4F0E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용접에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수축량과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찌그러짐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변형을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고려하여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마무리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형상을</w:t>
      </w:r>
      <w:r>
        <w:rPr>
          <w:rFonts w:ascii="맑은 고딕" w:eastAsia="맑은 고딕" w:hAnsi="맑은 고딕"/>
          <w:szCs w:val="20"/>
        </w:rPr>
        <w:t xml:space="preserve">        </w:t>
      </w:r>
      <w:r>
        <w:rPr>
          <w:rFonts w:ascii="맑은 고딕" w:eastAsia="맑은 고딕" w:hAnsi="맑은 고딕"/>
          <w:szCs w:val="20"/>
        </w:rPr>
        <w:t>얻을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해야한다</w:t>
      </w:r>
      <w:r>
        <w:rPr>
          <w:rFonts w:ascii="맑은 고딕" w:eastAsia="맑은 고딕" w:hAnsi="맑은 고딕"/>
          <w:szCs w:val="20"/>
        </w:rPr>
        <w:t>.</w:t>
      </w:r>
    </w:p>
    <w:p w14:paraId="5AE1B07D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철재의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가스용접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불활성가스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아크용접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알곤가스용접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방법을</w:t>
      </w:r>
      <w:r>
        <w:rPr>
          <w:rFonts w:ascii="맑은 고딕" w:eastAsia="맑은 고딕" w:hAnsi="맑은 고딕"/>
          <w:szCs w:val="20"/>
        </w:rPr>
        <w:t xml:space="preserve">        </w:t>
      </w:r>
      <w:r>
        <w:rPr>
          <w:rFonts w:ascii="맑은 고딕" w:eastAsia="맑은 고딕" w:hAnsi="맑은 고딕"/>
          <w:szCs w:val="20"/>
        </w:rPr>
        <w:t>사용하고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부위별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용접방식의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선택은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설계도면에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1F3C9489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</w:t>
      </w:r>
      <w:r>
        <w:rPr>
          <w:rFonts w:ascii="맑은 고딕" w:eastAsia="맑은 고딕" w:hAnsi="맑은 고딕"/>
          <w:szCs w:val="20"/>
        </w:rPr>
        <w:t>부재의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용접면은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페인트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기름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녹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수분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스케일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용접에</w:t>
      </w:r>
      <w:r>
        <w:rPr>
          <w:rFonts w:ascii="맑은 고딕" w:eastAsia="맑은 고딕" w:hAnsi="맑은 고딕"/>
          <w:szCs w:val="20"/>
        </w:rPr>
        <w:t xml:space="preserve">             </w:t>
      </w:r>
      <w:r>
        <w:rPr>
          <w:rFonts w:ascii="맑은 고딕" w:eastAsia="맑은 고딕" w:hAnsi="맑은 고딕"/>
          <w:szCs w:val="20"/>
        </w:rPr>
        <w:t>지장이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제거하여야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21B1F89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(5) </w:t>
      </w:r>
      <w:r>
        <w:rPr>
          <w:rFonts w:ascii="맑은 고딕" w:eastAsia="맑은 고딕" w:hAnsi="맑은 고딕"/>
          <w:szCs w:val="20"/>
        </w:rPr>
        <w:t>용접기와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부속기구는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주어진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용접조건에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알맞은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갖고</w:t>
      </w:r>
      <w:r>
        <w:rPr>
          <w:rFonts w:ascii="맑은 고딕" w:eastAsia="맑은 고딕" w:hAnsi="맑은 고딕"/>
          <w:szCs w:val="20"/>
        </w:rPr>
        <w:t xml:space="preserve">              </w:t>
      </w:r>
      <w:r>
        <w:rPr>
          <w:rFonts w:ascii="맑은 고딕" w:eastAsia="맑은 고딕" w:hAnsi="맑은 고딕"/>
          <w:szCs w:val="20"/>
        </w:rPr>
        <w:t>안전하게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595CDD2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(6) </w:t>
      </w:r>
      <w:r>
        <w:rPr>
          <w:rFonts w:ascii="맑은 고딕" w:eastAsia="맑은 고딕" w:hAnsi="맑은 고딕"/>
          <w:szCs w:val="20"/>
        </w:rPr>
        <w:t>용접봉은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해당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한국산업규격에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합격된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것이어야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실제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위치와</w:t>
      </w:r>
    </w:p>
    <w:p w14:paraId="2F05BF4A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</w:t>
      </w:r>
      <w:r>
        <w:rPr>
          <w:rFonts w:ascii="맑은 고딕" w:eastAsia="맑은 고딕" w:hAnsi="맑은 고딕"/>
          <w:szCs w:val="20"/>
        </w:rPr>
        <w:t>기타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제작자가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추천하는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크기와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분류번호를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피복된</w:t>
      </w:r>
      <w:r>
        <w:rPr>
          <w:rFonts w:ascii="맑은 고딕" w:eastAsia="맑은 고딕" w:hAnsi="맑은 고딕"/>
          <w:szCs w:val="20"/>
        </w:rPr>
        <w:t xml:space="preserve">            </w:t>
      </w:r>
      <w:r>
        <w:rPr>
          <w:rFonts w:ascii="맑은 고딕" w:eastAsia="맑은 고딕" w:hAnsi="맑은 고딕"/>
          <w:szCs w:val="20"/>
        </w:rPr>
        <w:lastRenderedPageBreak/>
        <w:t>용접봉이어야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A885719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 xml:space="preserve"> 3.2 </w:t>
      </w:r>
      <w:r>
        <w:rPr>
          <w:rFonts w:ascii="맑은 고딕" w:eastAsia="맑은 고딕" w:hAnsi="맑은 고딕"/>
          <w:b/>
          <w:szCs w:val="20"/>
        </w:rPr>
        <w:t>볼트접합</w:t>
      </w:r>
      <w:r>
        <w:rPr>
          <w:rFonts w:ascii="맑은 고딕" w:eastAsia="맑은 고딕" w:hAnsi="맑은 고딕"/>
          <w:b/>
          <w:szCs w:val="20"/>
        </w:rPr>
        <w:t xml:space="preserve"> </w:t>
      </w:r>
    </w:p>
    <w:p w14:paraId="2B820C10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볼트는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무리하게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손상되지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정확하게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구멍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속으로</w:t>
      </w:r>
      <w:r>
        <w:rPr>
          <w:rFonts w:ascii="맑은 고딕" w:eastAsia="맑은 고딕" w:hAnsi="맑은 고딕"/>
          <w:szCs w:val="20"/>
        </w:rPr>
        <w:t xml:space="preserve">         </w:t>
      </w:r>
      <w:r>
        <w:rPr>
          <w:rFonts w:ascii="맑은 고딕" w:eastAsia="맑은 고딕" w:hAnsi="맑은 고딕"/>
          <w:szCs w:val="20"/>
        </w:rPr>
        <w:t>박아야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박기중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볼트머리가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손상되지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해야한다</w:t>
      </w:r>
      <w:r>
        <w:rPr>
          <w:rFonts w:ascii="맑은 고딕" w:eastAsia="맑은 고딕" w:hAnsi="맑은 고딕"/>
          <w:szCs w:val="20"/>
        </w:rPr>
        <w:t>.</w:t>
      </w:r>
    </w:p>
    <w:p w14:paraId="37157B35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볼트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불량볼트의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검사하고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불량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대해서는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적절한</w:t>
      </w:r>
      <w:r>
        <w:rPr>
          <w:rFonts w:ascii="맑은 고딕" w:eastAsia="맑은 고딕" w:hAnsi="맑은 고딕"/>
          <w:szCs w:val="20"/>
        </w:rPr>
        <w:t xml:space="preserve">        </w:t>
      </w:r>
      <w:r>
        <w:rPr>
          <w:rFonts w:ascii="맑은 고딕" w:eastAsia="맑은 고딕" w:hAnsi="맑은 고딕"/>
          <w:szCs w:val="20"/>
        </w:rPr>
        <w:t>보완조치를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E247F56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와셔는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볼트머리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아래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너트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아래에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각각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장씩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볼트머리와</w:t>
      </w:r>
      <w:r>
        <w:rPr>
          <w:rFonts w:ascii="맑은 고딕" w:eastAsia="맑은 고딕" w:hAnsi="맑은 고딕"/>
          <w:szCs w:val="20"/>
        </w:rPr>
        <w:t xml:space="preserve">          </w:t>
      </w:r>
      <w:r>
        <w:rPr>
          <w:rFonts w:ascii="맑은 고딕" w:eastAsia="맑은 고딕" w:hAnsi="맑은 고딕"/>
          <w:szCs w:val="20"/>
        </w:rPr>
        <w:t>너트는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정연하게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놓여야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935F356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</w:t>
      </w:r>
      <w:r>
        <w:rPr>
          <w:rFonts w:ascii="맑은 고딕" w:eastAsia="맑은 고딕" w:hAnsi="맑은 고딕"/>
          <w:szCs w:val="20"/>
        </w:rPr>
        <w:t>볼트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조임은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핸드렌치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임펙트렌치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이용하여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느슨하지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적절히</w:t>
      </w:r>
      <w:r>
        <w:rPr>
          <w:rFonts w:ascii="맑은 고딕" w:eastAsia="맑은 고딕" w:hAnsi="맑은 고딕"/>
          <w:szCs w:val="20"/>
        </w:rPr>
        <w:t xml:space="preserve">         </w:t>
      </w:r>
      <w:r>
        <w:rPr>
          <w:rFonts w:ascii="맑은 고딕" w:eastAsia="맑은 고딕" w:hAnsi="맑은 고딕"/>
          <w:szCs w:val="20"/>
        </w:rPr>
        <w:t>조이며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중요한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스프링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와셔나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잠금기가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붙은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사용하여</w:t>
      </w:r>
      <w:r>
        <w:rPr>
          <w:rFonts w:ascii="맑은 고딕" w:eastAsia="맑은 고딕" w:hAnsi="맑은 고딕"/>
          <w:szCs w:val="20"/>
        </w:rPr>
        <w:t xml:space="preserve">        </w:t>
      </w:r>
      <w:r>
        <w:rPr>
          <w:rFonts w:ascii="맑은 고딕" w:eastAsia="맑은 고딕" w:hAnsi="맑은 고딕"/>
          <w:szCs w:val="20"/>
        </w:rPr>
        <w:t>풀림을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방지해야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5C51610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 xml:space="preserve">3.3 </w:t>
      </w:r>
      <w:r>
        <w:rPr>
          <w:rFonts w:ascii="맑은 고딕" w:eastAsia="맑은 고딕" w:hAnsi="맑은 고딕"/>
          <w:b/>
          <w:szCs w:val="20"/>
        </w:rPr>
        <w:t>조립설치</w:t>
      </w:r>
    </w:p>
    <w:p w14:paraId="04EC4C44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 xml:space="preserve"> (1) </w:t>
      </w:r>
      <w:r>
        <w:rPr>
          <w:rFonts w:ascii="맑은 고딕" w:eastAsia="맑은 고딕" w:hAnsi="맑은 고딕"/>
          <w:szCs w:val="20"/>
        </w:rPr>
        <w:t>설치위치는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설계도면에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따르며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지시를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받아야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836881E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시공전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다짐하여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평탄하게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F10E8AC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현장에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반입된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가급적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빠른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공정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관리상</w:t>
      </w:r>
      <w:r>
        <w:rPr>
          <w:rFonts w:ascii="맑은 고딕" w:eastAsia="맑은 고딕" w:hAnsi="맑은 고딕"/>
          <w:szCs w:val="20"/>
        </w:rPr>
        <w:t xml:space="preserve">              </w:t>
      </w:r>
      <w:r>
        <w:rPr>
          <w:rFonts w:ascii="맑은 고딕" w:eastAsia="맑은 고딕" w:hAnsi="맑은 고딕"/>
          <w:szCs w:val="20"/>
        </w:rPr>
        <w:t>불가피하게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장기간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보관할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적절한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보관조치를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취해야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6BAFF67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</w:t>
      </w:r>
      <w:r>
        <w:rPr>
          <w:rFonts w:ascii="맑은 고딕" w:eastAsia="맑은 고딕" w:hAnsi="맑은 고딕"/>
          <w:szCs w:val="20"/>
        </w:rPr>
        <w:t>설치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수직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수평이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맞아야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뒤틀림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직선이어야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EE4E1FD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</w:t>
      </w:r>
      <w:r>
        <w:rPr>
          <w:rFonts w:ascii="맑은 고딕" w:eastAsia="맑은 고딕" w:hAnsi="맑은 고딕"/>
          <w:szCs w:val="20"/>
        </w:rPr>
        <w:t>볼트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지주대로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연결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지지시킨다</w:t>
      </w:r>
      <w:r>
        <w:rPr>
          <w:rFonts w:ascii="맑은 고딕" w:eastAsia="맑은 고딕" w:hAnsi="맑은 고딕"/>
          <w:szCs w:val="20"/>
        </w:rPr>
        <w:t>.</w:t>
      </w:r>
    </w:p>
    <w:p w14:paraId="5DBEA35D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(5) </w:t>
      </w:r>
      <w:r>
        <w:rPr>
          <w:rFonts w:ascii="맑은 고딕" w:eastAsia="맑은 고딕" w:hAnsi="맑은 고딕"/>
          <w:szCs w:val="20"/>
        </w:rPr>
        <w:t>기초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설계도면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규격이며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배합비는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토목공사에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기준한다</w:t>
      </w:r>
    </w:p>
    <w:p w14:paraId="758E1BBF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(6) </w:t>
      </w:r>
      <w:r>
        <w:rPr>
          <w:rFonts w:ascii="맑은 고딕" w:eastAsia="맑은 고딕" w:hAnsi="맑은 고딕"/>
          <w:szCs w:val="20"/>
        </w:rPr>
        <w:t>연결고정부분은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정밀절단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천공하여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조립한다</w:t>
      </w:r>
      <w:r>
        <w:rPr>
          <w:rFonts w:ascii="맑은 고딕" w:eastAsia="맑은 고딕" w:hAnsi="맑은 고딕"/>
          <w:szCs w:val="20"/>
        </w:rPr>
        <w:t>.</w:t>
      </w:r>
    </w:p>
    <w:p w14:paraId="67CB5CFB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(7) </w:t>
      </w:r>
      <w:r>
        <w:rPr>
          <w:rFonts w:ascii="맑은 고딕" w:eastAsia="맑은 고딕" w:hAnsi="맑은 고딕"/>
          <w:szCs w:val="20"/>
        </w:rPr>
        <w:t>포장구간에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시설물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포장후의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상단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높이를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예측하여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기초부위를</w:t>
      </w:r>
      <w:r>
        <w:rPr>
          <w:rFonts w:ascii="맑은 고딕" w:eastAsia="맑은 고딕" w:hAnsi="맑은 고딕"/>
          <w:szCs w:val="20"/>
        </w:rPr>
        <w:t xml:space="preserve">        </w:t>
      </w:r>
      <w:r>
        <w:rPr>
          <w:rFonts w:ascii="맑은 고딕" w:eastAsia="맑은 고딕" w:hAnsi="맑은 고딕"/>
          <w:szCs w:val="20"/>
        </w:rPr>
        <w:t>시공함으로써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포장상단에서의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높이가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설게도면과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동일하게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시동되도록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FBAE6EA" w14:textId="77777777" w:rsidR="007A1DD9" w:rsidRDefault="007A1DD9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4039A820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4. </w:t>
      </w:r>
      <w:r>
        <w:rPr>
          <w:rFonts w:ascii="맑은 고딕" w:eastAsia="맑은 고딕" w:hAnsi="맑은 고딕"/>
          <w:b/>
          <w:szCs w:val="20"/>
        </w:rPr>
        <w:t>도장</w:t>
      </w:r>
    </w:p>
    <w:p w14:paraId="7EF3BD0C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lastRenderedPageBreak/>
        <w:t xml:space="preserve"> 4.1 </w:t>
      </w:r>
      <w:r>
        <w:rPr>
          <w:rFonts w:ascii="맑은 고딕" w:eastAsia="맑은 고딕" w:hAnsi="맑은 고딕"/>
          <w:b/>
          <w:szCs w:val="20"/>
        </w:rPr>
        <w:t>목재</w:t>
      </w:r>
    </w:p>
    <w:p w14:paraId="67A86500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수분함수율이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양호한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4237A3B7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피도면에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먼지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이물질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완전히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제거한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작업한다</w:t>
      </w:r>
      <w:r>
        <w:rPr>
          <w:rFonts w:ascii="맑은 고딕" w:eastAsia="맑은 고딕" w:hAnsi="맑은 고딕"/>
          <w:szCs w:val="20"/>
        </w:rPr>
        <w:t>.</w:t>
      </w:r>
    </w:p>
    <w:p w14:paraId="6B9080D7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대패가공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방충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오일스테인을</w:t>
      </w:r>
      <w:r>
        <w:rPr>
          <w:rFonts w:ascii="맑은 고딕" w:eastAsia="맑은 고딕" w:hAnsi="맑은 고딕"/>
          <w:szCs w:val="20"/>
        </w:rPr>
        <w:t xml:space="preserve"> 2</w:t>
      </w:r>
      <w:r>
        <w:rPr>
          <w:rFonts w:ascii="맑은 고딕" w:eastAsia="맑은 고딕" w:hAnsi="맑은 고딕"/>
          <w:szCs w:val="20"/>
        </w:rPr>
        <w:t>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도장한다</w:t>
      </w:r>
      <w:r>
        <w:rPr>
          <w:rFonts w:ascii="맑은 고딕" w:eastAsia="맑은 고딕" w:hAnsi="맑은 고딕"/>
          <w:szCs w:val="20"/>
        </w:rPr>
        <w:t>.</w:t>
      </w:r>
    </w:p>
    <w:p w14:paraId="21AB9E63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</w:t>
      </w:r>
      <w:r>
        <w:rPr>
          <w:rFonts w:ascii="맑은 고딕" w:eastAsia="맑은 고딕" w:hAnsi="맑은 고딕"/>
          <w:szCs w:val="20"/>
        </w:rPr>
        <w:t>도장후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얼룩이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생기지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철저히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FE7ED31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 xml:space="preserve">4.2 </w:t>
      </w:r>
      <w:r>
        <w:rPr>
          <w:rFonts w:ascii="맑은 고딕" w:eastAsia="맑은 고딕" w:hAnsi="맑은 고딕"/>
          <w:b/>
          <w:szCs w:val="20"/>
        </w:rPr>
        <w:t>철재</w:t>
      </w:r>
    </w:p>
    <w:p w14:paraId="0F83579B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탈지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프라이머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철저히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CC490E1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하도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열처리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녹막이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필히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빈틈없이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BF6CAB9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아크릴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우레탄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도장</w:t>
      </w:r>
      <w:r>
        <w:rPr>
          <w:rFonts w:ascii="맑은 고딕" w:eastAsia="맑은 고딕" w:hAnsi="맑은 고딕"/>
          <w:szCs w:val="20"/>
        </w:rPr>
        <w:t xml:space="preserve"> 2~3</w:t>
      </w:r>
      <w:r>
        <w:rPr>
          <w:rFonts w:ascii="맑은 고딕" w:eastAsia="맑은 고딕" w:hAnsi="맑은 고딕"/>
          <w:szCs w:val="20"/>
        </w:rPr>
        <w:t>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혹은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불소수치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5CC03E2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 xml:space="preserve">4.3 </w:t>
      </w:r>
      <w:r>
        <w:rPr>
          <w:rFonts w:ascii="맑은 고딕" w:eastAsia="맑은 고딕" w:hAnsi="맑은 고딕"/>
          <w:b/>
          <w:szCs w:val="20"/>
        </w:rPr>
        <w:t>알루미늄재</w:t>
      </w:r>
    </w:p>
    <w:p w14:paraId="1EBDC56D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도장전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피막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철저히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14BB5A5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원료는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폴리에스터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고분자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수지에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해당하는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분말을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00846CFD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정전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분체코팅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방법은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자동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방식을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7355C4B4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</w:t>
      </w:r>
      <w:r>
        <w:rPr>
          <w:rFonts w:ascii="맑은 고딕" w:eastAsia="맑은 고딕" w:hAnsi="맑은 고딕"/>
          <w:szCs w:val="20"/>
        </w:rPr>
        <w:t>최소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분체도장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두께는</w:t>
      </w:r>
      <w:r>
        <w:rPr>
          <w:rFonts w:ascii="맑은 고딕" w:eastAsia="맑은 고딕" w:hAnsi="맑은 고딕"/>
          <w:szCs w:val="20"/>
        </w:rPr>
        <w:t xml:space="preserve"> 60</w:t>
      </w:r>
      <w:r>
        <w:rPr>
          <w:rFonts w:ascii="맑은 고딕" w:eastAsia="맑은 고딕" w:hAnsi="맑은 고딕"/>
          <w:szCs w:val="20"/>
        </w:rPr>
        <w:t>마이크론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C682055" w14:textId="77777777" w:rsidR="007A1DD9" w:rsidRDefault="006F021D">
      <w:pPr>
        <w:pStyle w:val="a3"/>
        <w:wordWrap/>
        <w:snapToGrid/>
        <w:spacing w:line="360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(5) </w:t>
      </w:r>
      <w:r>
        <w:rPr>
          <w:rFonts w:ascii="맑은 고딕" w:eastAsia="맑은 고딕" w:hAnsi="맑은 고딕"/>
          <w:szCs w:val="20"/>
        </w:rPr>
        <w:t>지정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분체도장후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열처리한다</w:t>
      </w:r>
      <w:r>
        <w:rPr>
          <w:rFonts w:ascii="맑은 고딕" w:eastAsia="맑은 고딕" w:hAnsi="맑은 고딕"/>
          <w:szCs w:val="20"/>
        </w:rPr>
        <w:t>.</w:t>
      </w:r>
    </w:p>
    <w:p w14:paraId="01AD3453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5. </w:t>
      </w:r>
      <w:r>
        <w:rPr>
          <w:rFonts w:ascii="맑은 고딕" w:eastAsia="맑은 고딕" w:hAnsi="맑은 고딕"/>
          <w:b/>
          <w:szCs w:val="20"/>
        </w:rPr>
        <w:t>검사</w:t>
      </w:r>
      <w:r>
        <w:rPr>
          <w:rFonts w:ascii="맑은 고딕" w:eastAsia="맑은 고딕" w:hAnsi="맑은 고딕"/>
          <w:b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>및</w:t>
      </w:r>
      <w:r>
        <w:rPr>
          <w:rFonts w:ascii="맑은 고딕" w:eastAsia="맑은 고딕" w:hAnsi="맑은 고딕"/>
          <w:b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>시험</w:t>
      </w:r>
    </w:p>
    <w:p w14:paraId="6CBD06A7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5.1 </w:t>
      </w:r>
      <w:r>
        <w:rPr>
          <w:rFonts w:ascii="맑은 고딕" w:eastAsia="맑은 고딕" w:hAnsi="맑은 고딕"/>
          <w:b/>
          <w:szCs w:val="20"/>
        </w:rPr>
        <w:t>검사</w:t>
      </w:r>
    </w:p>
    <w:p w14:paraId="2AB51ED8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 </w:t>
      </w:r>
      <w:r>
        <w:rPr>
          <w:rFonts w:ascii="맑은 고딕" w:eastAsia="맑은 고딕" w:hAnsi="맑은 고딕"/>
          <w:szCs w:val="20"/>
        </w:rPr>
        <w:t xml:space="preserve">(1) </w:t>
      </w:r>
      <w:r>
        <w:rPr>
          <w:rFonts w:ascii="맑은 고딕" w:eastAsia="맑은 고딕" w:hAnsi="맑은 고딕"/>
          <w:szCs w:val="20"/>
        </w:rPr>
        <w:t>사용부재의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두께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길이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볼트구멍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완성품의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시방서의</w:t>
      </w:r>
      <w:r>
        <w:rPr>
          <w:rFonts w:ascii="맑은 고딕" w:eastAsia="맑은 고딕" w:hAnsi="맑은 고딕"/>
          <w:szCs w:val="20"/>
        </w:rPr>
        <w:t xml:space="preserve">           </w:t>
      </w:r>
      <w:r>
        <w:rPr>
          <w:rFonts w:ascii="맑은 고딕" w:eastAsia="맑은 고딕" w:hAnsi="맑은 고딕"/>
          <w:szCs w:val="20"/>
        </w:rPr>
        <w:t>내용과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같은지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확인한다</w:t>
      </w:r>
      <w:r>
        <w:rPr>
          <w:rFonts w:ascii="맑은 고딕" w:eastAsia="맑은 고딕" w:hAnsi="맑은 고딕"/>
          <w:szCs w:val="20"/>
        </w:rPr>
        <w:t>.</w:t>
      </w:r>
    </w:p>
    <w:p w14:paraId="016D1DB6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사용부재의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부재간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연결방법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용접면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용접상태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접속부의</w:t>
      </w:r>
      <w:r>
        <w:rPr>
          <w:rFonts w:ascii="맑은 고딕" w:eastAsia="맑은 고딕" w:hAnsi="맑은 고딕"/>
          <w:szCs w:val="20"/>
        </w:rPr>
        <w:t xml:space="preserve">                </w:t>
      </w:r>
      <w:r>
        <w:rPr>
          <w:rFonts w:ascii="맑은 고딕" w:eastAsia="맑은 고딕" w:hAnsi="맑은 고딕"/>
          <w:szCs w:val="20"/>
        </w:rPr>
        <w:t>마감상태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접속부분의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상태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완성품의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실시한다</w:t>
      </w:r>
      <w:r>
        <w:rPr>
          <w:rFonts w:ascii="맑은 고딕" w:eastAsia="맑은 고딕" w:hAnsi="맑은 고딕"/>
          <w:szCs w:val="20"/>
        </w:rPr>
        <w:t>.</w:t>
      </w:r>
    </w:p>
    <w:p w14:paraId="52198F68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완성품의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표면상태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외형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없는지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확인한다</w:t>
      </w:r>
      <w:r>
        <w:rPr>
          <w:rFonts w:ascii="맑은 고딕" w:eastAsia="맑은 고딕" w:hAnsi="맑은 고딕"/>
          <w:szCs w:val="20"/>
        </w:rPr>
        <w:t>.</w:t>
      </w:r>
    </w:p>
    <w:p w14:paraId="399F5CC7" w14:textId="77777777" w:rsidR="007A1DD9" w:rsidRDefault="006F021D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 xml:space="preserve">5.2 </w:t>
      </w:r>
      <w:r>
        <w:rPr>
          <w:rFonts w:ascii="맑은 고딕" w:eastAsia="맑은 고딕" w:hAnsi="맑은 고딕"/>
          <w:b/>
          <w:szCs w:val="20"/>
        </w:rPr>
        <w:t>시험</w:t>
      </w:r>
    </w:p>
    <w:p w14:paraId="31B714FC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함수율</w:t>
      </w:r>
      <w:r>
        <w:rPr>
          <w:rFonts w:ascii="맑은 고딕" w:eastAsia="맑은 고딕" w:hAnsi="맑은 고딕"/>
          <w:szCs w:val="20"/>
        </w:rPr>
        <w:t xml:space="preserve"> - </w:t>
      </w:r>
      <w:r>
        <w:rPr>
          <w:rFonts w:ascii="맑은 고딕" w:eastAsia="맑은 고딕" w:hAnsi="맑은 고딕"/>
          <w:szCs w:val="20"/>
        </w:rPr>
        <w:t>함수율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측정은</w:t>
      </w:r>
      <w:r>
        <w:rPr>
          <w:rFonts w:ascii="맑은 고딕" w:eastAsia="맑은 고딕" w:hAnsi="맑은 고딕"/>
          <w:szCs w:val="20"/>
        </w:rPr>
        <w:t xml:space="preserve"> KS-F-2199(</w:t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함수율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측정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방법</w:t>
      </w:r>
      <w:r>
        <w:rPr>
          <w:rFonts w:ascii="맑은 고딕" w:eastAsia="맑은 고딕" w:hAnsi="맑은 고딕"/>
          <w:szCs w:val="20"/>
        </w:rPr>
        <w:t>)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                           </w:t>
      </w:r>
      <w:r>
        <w:rPr>
          <w:rFonts w:ascii="맑은 고딕" w:eastAsia="맑은 고딕" w:hAnsi="맑은 고딕"/>
          <w:spacing w:val="-9"/>
          <w:szCs w:val="20"/>
        </w:rPr>
        <w:t>규정하는</w:t>
      </w:r>
      <w:r>
        <w:rPr>
          <w:rFonts w:ascii="맑은 고딕" w:eastAsia="맑은 고딕" w:hAnsi="맑은 고딕"/>
          <w:spacing w:val="-9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방법에</w:t>
      </w:r>
      <w:r>
        <w:rPr>
          <w:rFonts w:ascii="맑은 고딕" w:eastAsia="맑은 고딕" w:hAnsi="맑은 고딕"/>
          <w:spacing w:val="-9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따른다</w:t>
      </w:r>
      <w:r>
        <w:rPr>
          <w:rFonts w:ascii="맑은 고딕" w:eastAsia="맑은 고딕" w:hAnsi="맑은 고딕"/>
          <w:spacing w:val="-9"/>
          <w:szCs w:val="20"/>
        </w:rPr>
        <w:t xml:space="preserve">. </w:t>
      </w:r>
      <w:r>
        <w:rPr>
          <w:rFonts w:ascii="맑은 고딕" w:eastAsia="맑은 고딕" w:hAnsi="맑은 고딕"/>
          <w:spacing w:val="-9"/>
          <w:szCs w:val="20"/>
        </w:rPr>
        <w:t>또한</w:t>
      </w:r>
      <w:r>
        <w:rPr>
          <w:rFonts w:ascii="맑은 고딕" w:eastAsia="맑은 고딕" w:hAnsi="맑은 고딕"/>
          <w:spacing w:val="-9"/>
          <w:szCs w:val="20"/>
        </w:rPr>
        <w:t xml:space="preserve">, </w:t>
      </w:r>
      <w:r>
        <w:rPr>
          <w:rFonts w:ascii="맑은 고딕" w:eastAsia="맑은 고딕" w:hAnsi="맑은 고딕"/>
          <w:spacing w:val="-9"/>
          <w:szCs w:val="20"/>
        </w:rPr>
        <w:t>전기전</w:t>
      </w:r>
      <w:r>
        <w:rPr>
          <w:rFonts w:ascii="맑은 고딕" w:eastAsia="맑은 고딕" w:hAnsi="맑은 고딕"/>
          <w:spacing w:val="-9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측정방법에</w:t>
      </w:r>
      <w:r>
        <w:rPr>
          <w:rFonts w:ascii="맑은 고딕" w:eastAsia="맑은 고딕" w:hAnsi="맑은 고딕"/>
          <w:spacing w:val="-9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따라도</w:t>
      </w:r>
      <w:r>
        <w:rPr>
          <w:rFonts w:ascii="맑은 고딕" w:eastAsia="맑은 고딕" w:hAnsi="맑은 고딕"/>
          <w:spacing w:val="-9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좋다</w:t>
      </w:r>
      <w:r>
        <w:rPr>
          <w:rFonts w:ascii="맑은 고딕" w:eastAsia="맑은 고딕" w:hAnsi="맑은 고딕"/>
          <w:spacing w:val="-9"/>
          <w:szCs w:val="20"/>
        </w:rPr>
        <w:t>.</w:t>
      </w:r>
    </w:p>
    <w:p w14:paraId="57ACE774" w14:textId="77777777" w:rsidR="007A1DD9" w:rsidRDefault="006F021D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 xml:space="preserve">  (2) </w:t>
      </w:r>
      <w:r>
        <w:rPr>
          <w:rFonts w:ascii="맑은 고딕" w:eastAsia="맑은 고딕" w:hAnsi="맑은 고딕"/>
          <w:szCs w:val="20"/>
        </w:rPr>
        <w:t>표면처리</w:t>
      </w:r>
      <w:r>
        <w:rPr>
          <w:rFonts w:ascii="맑은 고딕" w:eastAsia="맑은 고딕" w:hAnsi="맑은 고딕"/>
          <w:szCs w:val="20"/>
        </w:rPr>
        <w:t xml:space="preserve"> - </w:t>
      </w:r>
      <w:r>
        <w:rPr>
          <w:rFonts w:ascii="맑은 고딕" w:eastAsia="맑은 고딕" w:hAnsi="맑은 고딕"/>
          <w:szCs w:val="20"/>
        </w:rPr>
        <w:t>금속부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밀착성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시험편에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예리한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칼날이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금속</w:t>
      </w:r>
      <w:r>
        <w:rPr>
          <w:rFonts w:ascii="맑은 고딕" w:eastAsia="맑은 고딕" w:hAnsi="맑은 고딕"/>
          <w:szCs w:val="20"/>
        </w:rPr>
        <w:t xml:space="preserve">                    </w:t>
      </w:r>
      <w:r>
        <w:rPr>
          <w:rFonts w:ascii="맑은 고딕" w:eastAsia="맑은 고딕" w:hAnsi="맑은 고딕"/>
          <w:szCs w:val="20"/>
        </w:rPr>
        <w:t>바탕에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닿도록</w:t>
      </w:r>
      <w:r>
        <w:rPr>
          <w:rFonts w:ascii="맑은 고딕" w:eastAsia="맑은 고딕" w:hAnsi="맑은 고딕"/>
          <w:szCs w:val="20"/>
        </w:rPr>
        <w:t xml:space="preserve"> 1mm</w:t>
      </w:r>
      <w:r>
        <w:rPr>
          <w:rFonts w:ascii="맑은 고딕" w:eastAsia="맑은 고딕" w:hAnsi="맑은 고딕"/>
          <w:szCs w:val="20"/>
        </w:rPr>
        <w:t>간격으로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서로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직교하도록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괘선을</w:t>
      </w:r>
      <w:r>
        <w:rPr>
          <w:rFonts w:ascii="맑은 고딕" w:eastAsia="맑은 고딕" w:hAnsi="맑은 고딕"/>
          <w:szCs w:val="20"/>
        </w:rPr>
        <w:t xml:space="preserve"> 11</w:t>
      </w:r>
      <w:r>
        <w:rPr>
          <w:rFonts w:ascii="맑은 고딕" w:eastAsia="맑은 고딕" w:hAnsi="맑은 고딕"/>
          <w:szCs w:val="20"/>
        </w:rPr>
        <w:t>줄씩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긋고</w:t>
      </w:r>
      <w:r>
        <w:rPr>
          <w:rFonts w:ascii="맑은 고딕" w:eastAsia="맑은 고딕" w:hAnsi="맑은 고딕"/>
          <w:szCs w:val="20"/>
        </w:rPr>
        <w:t xml:space="preserve"> 1x1mm</w:t>
      </w:r>
      <w:r>
        <w:rPr>
          <w:rFonts w:ascii="맑은 고딕" w:eastAsia="맑은 고딕" w:hAnsi="맑은 고딕"/>
          <w:szCs w:val="20"/>
        </w:rPr>
        <w:t>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칸을</w:t>
      </w:r>
      <w:r>
        <w:rPr>
          <w:rFonts w:ascii="맑은 고딕" w:eastAsia="맑은 고딕" w:hAnsi="맑은 고딕"/>
          <w:szCs w:val="20"/>
        </w:rPr>
        <w:t xml:space="preserve"> 100</w:t>
      </w:r>
      <w:r>
        <w:rPr>
          <w:rFonts w:ascii="맑은 고딕" w:eastAsia="맑은 고딕" w:hAnsi="맑은 고딕"/>
          <w:szCs w:val="20"/>
        </w:rPr>
        <w:t>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만든다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그위에</w:t>
      </w:r>
      <w:r>
        <w:rPr>
          <w:rFonts w:ascii="맑은 고딕" w:eastAsia="맑은 고딕" w:hAnsi="맑은 고딕"/>
          <w:szCs w:val="20"/>
        </w:rPr>
        <w:t xml:space="preserve"> KS-A-1528(</w:t>
      </w:r>
      <w:r>
        <w:rPr>
          <w:rFonts w:ascii="맑은 고딕" w:eastAsia="맑은 고딕" w:hAnsi="맑은 고딕"/>
          <w:szCs w:val="20"/>
        </w:rPr>
        <w:t>셀로판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점착테이프</w:t>
      </w:r>
      <w:r>
        <w:rPr>
          <w:rFonts w:ascii="맑은 고딕" w:eastAsia="맑은 고딕" w:hAnsi="맑은 고딕"/>
          <w:szCs w:val="20"/>
        </w:rPr>
        <w:t>)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규정하는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점착테이프를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붙인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즉시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떼어내어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도막이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벗겨지는지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조사한다</w:t>
      </w:r>
      <w:r>
        <w:rPr>
          <w:rFonts w:ascii="맑은 고딕" w:eastAsia="맑은 고딕" w:hAnsi="맑은 고딕"/>
          <w:szCs w:val="20"/>
        </w:rPr>
        <w:t>.</w:t>
      </w:r>
    </w:p>
    <w:p w14:paraId="1F383A2A" w14:textId="77777777" w:rsidR="007A1DD9" w:rsidRDefault="006F021D">
      <w:pPr>
        <w:pStyle w:val="a3"/>
        <w:wordWrap/>
        <w:snapToGrid/>
        <w:ind w:left="800" w:hangingChars="400" w:hanging="8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- </w:t>
      </w:r>
      <w:r>
        <w:rPr>
          <w:rFonts w:ascii="맑은 고딕" w:eastAsia="맑은 고딕" w:hAnsi="맑은 고딕"/>
          <w:szCs w:val="20"/>
        </w:rPr>
        <w:t>목재부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도막밀착성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시험편에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예리한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칼날을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약</w:t>
      </w:r>
      <w:r>
        <w:rPr>
          <w:rFonts w:ascii="맑은 고딕" w:eastAsia="맑은 고딕" w:hAnsi="맑은 고딕"/>
          <w:szCs w:val="20"/>
        </w:rPr>
        <w:t xml:space="preserve"> 30°</w:t>
      </w:r>
      <w:r>
        <w:rPr>
          <w:rFonts w:ascii="맑은 고딕" w:eastAsia="맑은 고딕" w:hAnsi="맑은 고딕"/>
          <w:szCs w:val="20"/>
        </w:rPr>
        <w:t>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기울여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목질바탕을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닿도록</w:t>
      </w:r>
      <w:r>
        <w:rPr>
          <w:rFonts w:ascii="맑은 고딕" w:eastAsia="맑은 고딕" w:hAnsi="맑은 고딕"/>
          <w:szCs w:val="20"/>
        </w:rPr>
        <w:t xml:space="preserve"> 2mm</w:t>
      </w:r>
      <w:r>
        <w:rPr>
          <w:rFonts w:ascii="맑은 고딕" w:eastAsia="맑은 고딕" w:hAnsi="맑은 고딕"/>
          <w:szCs w:val="20"/>
        </w:rPr>
        <w:t>간격으로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서로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직교하는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선을</w:t>
      </w:r>
      <w:r>
        <w:rPr>
          <w:rFonts w:ascii="맑은 고딕" w:eastAsia="맑은 고딕" w:hAnsi="맑은 고딕"/>
          <w:szCs w:val="20"/>
        </w:rPr>
        <w:t xml:space="preserve"> 11</w:t>
      </w:r>
      <w:r>
        <w:rPr>
          <w:rFonts w:ascii="맑은 고딕" w:eastAsia="맑은 고딕" w:hAnsi="맑은 고딕"/>
          <w:szCs w:val="20"/>
        </w:rPr>
        <w:t>줄씩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긋고</w:t>
      </w:r>
      <w:r>
        <w:rPr>
          <w:rFonts w:ascii="맑은 고딕" w:eastAsia="맑은 고딕" w:hAnsi="맑은 고딕"/>
          <w:szCs w:val="20"/>
        </w:rPr>
        <w:t xml:space="preserve"> 2x2mm</w:t>
      </w:r>
      <w:r>
        <w:rPr>
          <w:rFonts w:ascii="맑은 고딕" w:eastAsia="맑은 고딕" w:hAnsi="맑은 고딕"/>
          <w:szCs w:val="20"/>
        </w:rPr>
        <w:t>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칸을</w:t>
      </w:r>
      <w:r>
        <w:rPr>
          <w:rFonts w:ascii="맑은 고딕" w:eastAsia="맑은 고딕" w:hAnsi="맑은 고딕"/>
          <w:szCs w:val="20"/>
        </w:rPr>
        <w:t xml:space="preserve"> 100</w:t>
      </w:r>
      <w:r>
        <w:rPr>
          <w:rFonts w:ascii="맑은 고딕" w:eastAsia="맑은 고딕" w:hAnsi="맑은 고딕"/>
          <w:szCs w:val="20"/>
        </w:rPr>
        <w:t>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만든다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그위에</w:t>
      </w:r>
      <w:r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 xml:space="preserve"> KS-A-1528(</w:t>
      </w:r>
      <w:r>
        <w:rPr>
          <w:rFonts w:ascii="맑은 고딕" w:eastAsia="맑은 고딕" w:hAnsi="맑은 고딕"/>
          <w:szCs w:val="20"/>
        </w:rPr>
        <w:t>셀로판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점착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테이프</w:t>
      </w:r>
      <w:r>
        <w:rPr>
          <w:rFonts w:ascii="맑은 고딕" w:eastAsia="맑은 고딕" w:hAnsi="맑은 고딕"/>
          <w:szCs w:val="20"/>
        </w:rPr>
        <w:t>)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규정하는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점착테이프를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붙인후바로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떼어서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도막의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벗겨짐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조사한다</w:t>
      </w:r>
      <w:r>
        <w:rPr>
          <w:rFonts w:ascii="맑은 고딕" w:eastAsia="맑은 고딕" w:hAnsi="맑은 고딕"/>
          <w:szCs w:val="20"/>
        </w:rPr>
        <w:t>.</w:t>
      </w:r>
    </w:p>
    <w:sectPr w:rsidR="007A1DD9">
      <w:endnotePr>
        <w:numFmt w:val="decimal"/>
      </w:endnotePr>
      <w:pgSz w:w="11906" w:h="16838"/>
      <w:pgMar w:top="1984" w:right="1701" w:bottom="1701" w:left="1701" w:header="1134" w:footer="85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defaultTabStop w:val="800"/>
  <w:drawingGridHorizontalSpacing w:val="1000"/>
  <w:drawingGridVerticalSpacing w:val="10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DD9"/>
    <w:rsid w:val="00422B01"/>
    <w:rsid w:val="006F021D"/>
    <w:rsid w:val="007A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0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526</Words>
  <Characters>3003</Characters>
  <Application>Microsoft Office Word</Application>
  <DocSecurity>0</DocSecurity>
  <Lines>25</Lines>
  <Paragraphs>7</Paragraphs>
  <ScaleCrop>false</ScaleCrop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2011-05-17T01:27:00Z</dcterms:created>
  <dcterms:modified xsi:type="dcterms:W3CDTF">2025-10-16T06:27:00Z</dcterms:modified>
  <cp:version>0900.0100.01</cp:version>
</cp:coreProperties>
</file>